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C87" w:rsidRDefault="00806C87">
      <w:pPr>
        <w:pStyle w:val="Runninghead"/>
      </w:pPr>
      <w:r>
        <w:t xml:space="preserve">Running head: PRACTICAL APPLICATION – </w:t>
      </w:r>
      <w:r w:rsidR="00B937DB">
        <w:t>DESCRIPTIVE STATISTICS</w:t>
      </w:r>
    </w:p>
    <w:p w:rsidR="00806C87" w:rsidRDefault="00806C87">
      <w:pPr>
        <w:pStyle w:val="Title"/>
      </w:pPr>
      <w:r>
        <w:t xml:space="preserve">Practical Application Paper – </w:t>
      </w:r>
      <w:r w:rsidR="00B937DB">
        <w:t>Descriptive Statistics</w:t>
      </w:r>
    </w:p>
    <w:p w:rsidR="00806C87" w:rsidRDefault="00806C87">
      <w:pPr>
        <w:pStyle w:val="BylineAffiliation"/>
      </w:pPr>
      <w:r>
        <w:t xml:space="preserve">Frances </w:t>
      </w:r>
      <w:r w:rsidR="00BE35C2">
        <w:t>(</w:t>
      </w:r>
      <w:proofErr w:type="spellStart"/>
      <w:r w:rsidR="00BE35C2">
        <w:t>Zaynab</w:t>
      </w:r>
      <w:proofErr w:type="spellEnd"/>
      <w:r w:rsidR="00BE35C2">
        <w:t xml:space="preserve">) </w:t>
      </w:r>
      <w:r>
        <w:t>Smith, Leslie McNeil</w:t>
      </w:r>
      <w:r w:rsidR="00FA39D9">
        <w:t>l</w:t>
      </w:r>
      <w:r>
        <w:t xml:space="preserve">, Lori Knierim, Mark </w:t>
      </w:r>
      <w:proofErr w:type="spellStart"/>
      <w:r>
        <w:t>Reha</w:t>
      </w:r>
      <w:proofErr w:type="spellEnd"/>
      <w:r>
        <w:br/>
        <w:t>University of Phoenix</w:t>
      </w:r>
    </w:p>
    <w:p w:rsidR="00806C87" w:rsidRDefault="00806C87" w:rsidP="00322675">
      <w:pPr>
        <w:pStyle w:val="Heading1"/>
      </w:pPr>
      <w:r>
        <w:br w:type="page"/>
        <w:t xml:space="preserve">Practical Application – </w:t>
      </w:r>
      <w:r w:rsidR="005714F4">
        <w:t>Descriptive Statistics</w:t>
      </w:r>
    </w:p>
    <w:p w:rsidR="0077291C" w:rsidRDefault="00163B75" w:rsidP="0077291C">
      <w:pPr>
        <w:pStyle w:val="Body"/>
        <w:ind w:firstLine="0"/>
        <w:rPr>
          <w:i/>
        </w:rPr>
      </w:pPr>
      <w:r>
        <w:rPr>
          <w:i/>
        </w:rPr>
        <w:t>Introduction and preliminary discussions</w:t>
      </w:r>
    </w:p>
    <w:p w:rsidR="004360F6" w:rsidRDefault="00A67641" w:rsidP="0077291C">
      <w:pPr>
        <w:pStyle w:val="Body"/>
        <w:ind w:firstLine="0"/>
        <w:rPr>
          <w:i/>
        </w:rPr>
      </w:pPr>
      <w:r>
        <w:tab/>
        <w:t>Preliminary to the practical ap</w:t>
      </w:r>
      <w:r w:rsidR="002A30CF">
        <w:t xml:space="preserve">plication survey process, the </w:t>
      </w:r>
      <w:r w:rsidR="002930AA">
        <w:t xml:space="preserve">research team </w:t>
      </w:r>
      <w:r>
        <w:t xml:space="preserve">ventured to ascertain the probability of a sample populace finding upon graduating High School that their education was deficient in some courses of studies. One researcher from the </w:t>
      </w:r>
      <w:r w:rsidR="002930AA">
        <w:t xml:space="preserve">research team </w:t>
      </w:r>
      <w:r>
        <w:t>chose five ge</w:t>
      </w:r>
      <w:r w:rsidR="000306B3">
        <w:t>neral areas of learning</w:t>
      </w:r>
      <w:r>
        <w:t xml:space="preserve"> most commonly required for students’ graduating from secondary schools. These were </w:t>
      </w:r>
      <w:r>
        <w:rPr>
          <w:i/>
        </w:rPr>
        <w:t>Reading, Writing, Mathematics,</w:t>
      </w:r>
      <w:r w:rsidRPr="00A67641">
        <w:rPr>
          <w:i/>
        </w:rPr>
        <w:t xml:space="preserve"> and Technology</w:t>
      </w:r>
      <w:r>
        <w:t xml:space="preserve">.  As a </w:t>
      </w:r>
      <w:r w:rsidR="002930AA">
        <w:t>research team</w:t>
      </w:r>
      <w:r>
        <w:t xml:space="preserve">, we were especially interested in </w:t>
      </w:r>
      <w:r w:rsidR="00701846">
        <w:t xml:space="preserve">the results for </w:t>
      </w:r>
      <w:r w:rsidR="002930AA">
        <w:t>t</w:t>
      </w:r>
      <w:r w:rsidR="00701846">
        <w:t xml:space="preserve">echnology, as these skills are major components of postsecondary institutions today. </w:t>
      </w:r>
      <w:r w:rsidR="004360F6" w:rsidRPr="0073668C">
        <w:rPr>
          <w:i/>
        </w:rPr>
        <w:t>Table 1</w:t>
      </w:r>
      <w:r w:rsidR="004360F6">
        <w:t xml:space="preserve"> and </w:t>
      </w:r>
      <w:r w:rsidR="004360F6" w:rsidRPr="0073668C">
        <w:rPr>
          <w:u w:val="single"/>
        </w:rPr>
        <w:t>Figure 1</w:t>
      </w:r>
      <w:r w:rsidR="00880DBA">
        <w:t xml:space="preserve"> show significan</w:t>
      </w:r>
      <w:r w:rsidR="004360F6">
        <w:t xml:space="preserve">t cause for this research study with unequal variances sufficient to nullify the hypothesis: </w:t>
      </w:r>
      <w:r w:rsidR="004360F6" w:rsidRPr="004360F6">
        <w:rPr>
          <w:i/>
        </w:rPr>
        <w:t xml:space="preserve">There is no difference in HS student readiness for postsecondary education and postsecondary students readiness for their current employment. </w:t>
      </w:r>
    </w:p>
    <w:p w:rsidR="004360F6" w:rsidRPr="004360F6" w:rsidRDefault="004360F6" w:rsidP="0077291C">
      <w:pPr>
        <w:pStyle w:val="Body"/>
        <w:ind w:firstLine="0"/>
        <w:rPr>
          <w:i/>
        </w:rPr>
      </w:pPr>
      <w:r>
        <w:t xml:space="preserve">Table 1. </w:t>
      </w:r>
      <w:proofErr w:type="gramStart"/>
      <w:r w:rsidRPr="004360F6">
        <w:rPr>
          <w:i/>
        </w:rPr>
        <w:t>t</w:t>
      </w:r>
      <w:proofErr w:type="gramEnd"/>
      <w:r>
        <w:t>-Test Two Sample Assuming Unequal Variances</w:t>
      </w:r>
      <w:r w:rsidR="00880DBA" w:rsidRPr="004360F6">
        <w:rPr>
          <w:i/>
        </w:rPr>
        <w:t xml:space="preserve"> </w:t>
      </w:r>
      <w:r w:rsidR="00701846" w:rsidRPr="004360F6">
        <w:rPr>
          <w:i/>
        </w:rPr>
        <w:t xml:space="preserve"> </w:t>
      </w:r>
      <w:r w:rsidR="00A67641" w:rsidRPr="004360F6">
        <w:rPr>
          <w:i/>
        </w:rPr>
        <w:t xml:space="preserve"> </w:t>
      </w:r>
    </w:p>
    <w:tbl>
      <w:tblPr>
        <w:tblW w:w="4720" w:type="dxa"/>
        <w:tblInd w:w="108" w:type="dxa"/>
        <w:tblLook w:val="04A0"/>
      </w:tblPr>
      <w:tblGrid>
        <w:gridCol w:w="2638"/>
        <w:gridCol w:w="1041"/>
        <w:gridCol w:w="1041"/>
      </w:tblGrid>
      <w:tr w:rsidR="004360F6" w:rsidRPr="004360F6">
        <w:trPr>
          <w:trHeight w:val="300"/>
        </w:trPr>
        <w:tc>
          <w:tcPr>
            <w:tcW w:w="2768" w:type="dxa"/>
            <w:tcBorders>
              <w:top w:val="single" w:sz="8" w:space="0" w:color="auto"/>
              <w:left w:val="nil"/>
              <w:bottom w:val="single" w:sz="4" w:space="0" w:color="auto"/>
              <w:right w:val="nil"/>
            </w:tcBorders>
            <w:shd w:val="clear" w:color="auto" w:fill="auto"/>
            <w:noWrap/>
            <w:vAlign w:val="bottom"/>
          </w:tcPr>
          <w:p w:rsidR="004360F6" w:rsidRPr="004360F6" w:rsidRDefault="004360F6" w:rsidP="004360F6">
            <w:pPr>
              <w:jc w:val="center"/>
              <w:rPr>
                <w:rFonts w:ascii="Calibri" w:hAnsi="Calibri"/>
                <w:i/>
                <w:iCs/>
                <w:color w:val="000000"/>
                <w:sz w:val="22"/>
                <w:szCs w:val="22"/>
              </w:rPr>
            </w:pPr>
            <w:r w:rsidRPr="004360F6">
              <w:rPr>
                <w:rFonts w:ascii="Calibri" w:hAnsi="Calibri"/>
                <w:i/>
                <w:iCs/>
                <w:color w:val="000000"/>
                <w:sz w:val="22"/>
                <w:szCs w:val="22"/>
              </w:rPr>
              <w:t> </w:t>
            </w:r>
          </w:p>
        </w:tc>
        <w:tc>
          <w:tcPr>
            <w:tcW w:w="976" w:type="dxa"/>
            <w:tcBorders>
              <w:top w:val="single" w:sz="8" w:space="0" w:color="auto"/>
              <w:left w:val="nil"/>
              <w:bottom w:val="single" w:sz="4" w:space="0" w:color="auto"/>
              <w:right w:val="nil"/>
            </w:tcBorders>
            <w:shd w:val="clear" w:color="auto" w:fill="auto"/>
            <w:noWrap/>
            <w:vAlign w:val="bottom"/>
          </w:tcPr>
          <w:p w:rsidR="004360F6" w:rsidRPr="004360F6" w:rsidRDefault="004360F6" w:rsidP="004360F6">
            <w:pPr>
              <w:jc w:val="center"/>
              <w:rPr>
                <w:rFonts w:ascii="Calibri" w:hAnsi="Calibri"/>
                <w:i/>
                <w:iCs/>
                <w:color w:val="000000"/>
                <w:sz w:val="22"/>
                <w:szCs w:val="22"/>
              </w:rPr>
            </w:pPr>
            <w:r w:rsidRPr="004360F6">
              <w:rPr>
                <w:rFonts w:ascii="Calibri" w:hAnsi="Calibri"/>
                <w:i/>
                <w:iCs/>
                <w:color w:val="000000"/>
                <w:sz w:val="22"/>
                <w:szCs w:val="22"/>
              </w:rPr>
              <w:t>Variable 1</w:t>
            </w:r>
          </w:p>
        </w:tc>
        <w:tc>
          <w:tcPr>
            <w:tcW w:w="976" w:type="dxa"/>
            <w:tcBorders>
              <w:top w:val="single" w:sz="8" w:space="0" w:color="auto"/>
              <w:left w:val="nil"/>
              <w:bottom w:val="single" w:sz="4" w:space="0" w:color="auto"/>
              <w:right w:val="nil"/>
            </w:tcBorders>
            <w:shd w:val="clear" w:color="auto" w:fill="auto"/>
            <w:noWrap/>
            <w:vAlign w:val="bottom"/>
          </w:tcPr>
          <w:p w:rsidR="004360F6" w:rsidRPr="004360F6" w:rsidRDefault="004360F6" w:rsidP="004360F6">
            <w:pPr>
              <w:jc w:val="center"/>
              <w:rPr>
                <w:rFonts w:ascii="Calibri" w:hAnsi="Calibri"/>
                <w:i/>
                <w:iCs/>
                <w:color w:val="000000"/>
                <w:sz w:val="22"/>
                <w:szCs w:val="22"/>
              </w:rPr>
            </w:pPr>
            <w:r w:rsidRPr="004360F6">
              <w:rPr>
                <w:rFonts w:ascii="Calibri" w:hAnsi="Calibri"/>
                <w:i/>
                <w:iCs/>
                <w:color w:val="000000"/>
                <w:sz w:val="22"/>
                <w:szCs w:val="22"/>
              </w:rPr>
              <w:t>Variable 2</w:t>
            </w:r>
          </w:p>
        </w:tc>
      </w:tr>
      <w:tr w:rsidR="004360F6" w:rsidRPr="002930AA">
        <w:trPr>
          <w:trHeight w:val="300"/>
        </w:trPr>
        <w:tc>
          <w:tcPr>
            <w:tcW w:w="2768"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Mean</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24.4</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40.66667</w:t>
            </w:r>
          </w:p>
        </w:tc>
      </w:tr>
      <w:tr w:rsidR="004360F6" w:rsidRPr="002930AA">
        <w:trPr>
          <w:trHeight w:val="300"/>
        </w:trPr>
        <w:tc>
          <w:tcPr>
            <w:tcW w:w="2768"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Variance</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342.3</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1166.333</w:t>
            </w:r>
          </w:p>
        </w:tc>
      </w:tr>
      <w:tr w:rsidR="004360F6" w:rsidRPr="002930AA">
        <w:trPr>
          <w:trHeight w:val="300"/>
        </w:trPr>
        <w:tc>
          <w:tcPr>
            <w:tcW w:w="2768"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Observations</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5</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3</w:t>
            </w:r>
          </w:p>
        </w:tc>
      </w:tr>
      <w:tr w:rsidR="004360F6" w:rsidRPr="002930AA">
        <w:trPr>
          <w:trHeight w:val="300"/>
        </w:trPr>
        <w:tc>
          <w:tcPr>
            <w:tcW w:w="2768"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Hypothesized Mean Difference</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0.4</w:t>
            </w:r>
          </w:p>
        </w:tc>
        <w:tc>
          <w:tcPr>
            <w:tcW w:w="976"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p>
        </w:tc>
      </w:tr>
      <w:tr w:rsidR="004360F6" w:rsidRPr="002930AA">
        <w:trPr>
          <w:trHeight w:val="300"/>
        </w:trPr>
        <w:tc>
          <w:tcPr>
            <w:tcW w:w="2768" w:type="dxa"/>
            <w:tcBorders>
              <w:top w:val="nil"/>
              <w:left w:val="nil"/>
              <w:bottom w:val="nil"/>
              <w:right w:val="nil"/>
            </w:tcBorders>
            <w:shd w:val="clear" w:color="auto" w:fill="auto"/>
            <w:noWrap/>
            <w:vAlign w:val="bottom"/>
          </w:tcPr>
          <w:p w:rsidR="004360F6" w:rsidRPr="002930AA" w:rsidRDefault="000306B3" w:rsidP="004360F6">
            <w:pPr>
              <w:rPr>
                <w:color w:val="000000"/>
                <w:sz w:val="22"/>
                <w:szCs w:val="22"/>
              </w:rPr>
            </w:pPr>
            <w:proofErr w:type="spellStart"/>
            <w:r w:rsidRPr="002930AA">
              <w:rPr>
                <w:color w:val="000000"/>
                <w:sz w:val="22"/>
                <w:szCs w:val="22"/>
              </w:rPr>
              <w:t>D</w:t>
            </w:r>
            <w:r w:rsidR="004360F6" w:rsidRPr="002930AA">
              <w:rPr>
                <w:color w:val="000000"/>
                <w:sz w:val="22"/>
                <w:szCs w:val="22"/>
              </w:rPr>
              <w:t>f</w:t>
            </w:r>
            <w:proofErr w:type="spellEnd"/>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3</w:t>
            </w:r>
          </w:p>
        </w:tc>
        <w:tc>
          <w:tcPr>
            <w:tcW w:w="976"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p>
        </w:tc>
      </w:tr>
      <w:tr w:rsidR="004360F6" w:rsidRPr="002930AA">
        <w:trPr>
          <w:trHeight w:val="300"/>
        </w:trPr>
        <w:tc>
          <w:tcPr>
            <w:tcW w:w="2768"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t Stat</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-0.77943</w:t>
            </w:r>
          </w:p>
        </w:tc>
        <w:tc>
          <w:tcPr>
            <w:tcW w:w="976"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p>
        </w:tc>
      </w:tr>
      <w:tr w:rsidR="004360F6" w:rsidRPr="002930AA">
        <w:trPr>
          <w:trHeight w:val="300"/>
        </w:trPr>
        <w:tc>
          <w:tcPr>
            <w:tcW w:w="2768"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P(T&lt;=t) one-tail</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0.246281</w:t>
            </w:r>
          </w:p>
        </w:tc>
        <w:tc>
          <w:tcPr>
            <w:tcW w:w="976"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p>
        </w:tc>
      </w:tr>
      <w:tr w:rsidR="004360F6" w:rsidRPr="002930AA">
        <w:trPr>
          <w:trHeight w:val="300"/>
        </w:trPr>
        <w:tc>
          <w:tcPr>
            <w:tcW w:w="2768"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t Critical one-tail</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2.353363</w:t>
            </w:r>
          </w:p>
        </w:tc>
        <w:tc>
          <w:tcPr>
            <w:tcW w:w="976"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p>
        </w:tc>
      </w:tr>
      <w:tr w:rsidR="004360F6" w:rsidRPr="002930AA">
        <w:trPr>
          <w:trHeight w:val="300"/>
        </w:trPr>
        <w:tc>
          <w:tcPr>
            <w:tcW w:w="2768"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P(T&lt;=t) two-tail</w:t>
            </w:r>
          </w:p>
        </w:tc>
        <w:tc>
          <w:tcPr>
            <w:tcW w:w="976" w:type="dxa"/>
            <w:tcBorders>
              <w:top w:val="nil"/>
              <w:left w:val="nil"/>
              <w:bottom w:val="nil"/>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0.492563</w:t>
            </w:r>
          </w:p>
        </w:tc>
        <w:tc>
          <w:tcPr>
            <w:tcW w:w="976" w:type="dxa"/>
            <w:tcBorders>
              <w:top w:val="nil"/>
              <w:left w:val="nil"/>
              <w:bottom w:val="nil"/>
              <w:right w:val="nil"/>
            </w:tcBorders>
            <w:shd w:val="clear" w:color="auto" w:fill="auto"/>
            <w:noWrap/>
            <w:vAlign w:val="bottom"/>
          </w:tcPr>
          <w:p w:rsidR="004360F6" w:rsidRPr="002930AA" w:rsidRDefault="004360F6" w:rsidP="004360F6">
            <w:pPr>
              <w:rPr>
                <w:color w:val="000000"/>
                <w:sz w:val="22"/>
                <w:szCs w:val="22"/>
              </w:rPr>
            </w:pPr>
          </w:p>
        </w:tc>
      </w:tr>
      <w:tr w:rsidR="004360F6" w:rsidRPr="002930AA">
        <w:trPr>
          <w:trHeight w:val="315"/>
        </w:trPr>
        <w:tc>
          <w:tcPr>
            <w:tcW w:w="2768" w:type="dxa"/>
            <w:tcBorders>
              <w:top w:val="nil"/>
              <w:left w:val="nil"/>
              <w:bottom w:val="single" w:sz="8" w:space="0" w:color="auto"/>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t Critical two-tail</w:t>
            </w:r>
          </w:p>
        </w:tc>
        <w:tc>
          <w:tcPr>
            <w:tcW w:w="976" w:type="dxa"/>
            <w:tcBorders>
              <w:top w:val="nil"/>
              <w:left w:val="nil"/>
              <w:bottom w:val="single" w:sz="8" w:space="0" w:color="auto"/>
              <w:right w:val="nil"/>
            </w:tcBorders>
            <w:shd w:val="clear" w:color="auto" w:fill="auto"/>
            <w:noWrap/>
            <w:vAlign w:val="bottom"/>
          </w:tcPr>
          <w:p w:rsidR="004360F6" w:rsidRPr="002930AA" w:rsidRDefault="004360F6" w:rsidP="004360F6">
            <w:pPr>
              <w:jc w:val="right"/>
              <w:rPr>
                <w:color w:val="000000"/>
                <w:sz w:val="22"/>
                <w:szCs w:val="22"/>
              </w:rPr>
            </w:pPr>
            <w:r w:rsidRPr="002930AA">
              <w:rPr>
                <w:color w:val="000000"/>
                <w:sz w:val="22"/>
                <w:szCs w:val="22"/>
              </w:rPr>
              <w:t>3.182446</w:t>
            </w:r>
          </w:p>
        </w:tc>
        <w:tc>
          <w:tcPr>
            <w:tcW w:w="976" w:type="dxa"/>
            <w:tcBorders>
              <w:top w:val="nil"/>
              <w:left w:val="nil"/>
              <w:bottom w:val="single" w:sz="8" w:space="0" w:color="auto"/>
              <w:right w:val="nil"/>
            </w:tcBorders>
            <w:shd w:val="clear" w:color="auto" w:fill="auto"/>
            <w:noWrap/>
            <w:vAlign w:val="bottom"/>
          </w:tcPr>
          <w:p w:rsidR="004360F6" w:rsidRPr="002930AA" w:rsidRDefault="004360F6" w:rsidP="004360F6">
            <w:pPr>
              <w:rPr>
                <w:color w:val="000000"/>
                <w:sz w:val="22"/>
                <w:szCs w:val="22"/>
              </w:rPr>
            </w:pPr>
            <w:r w:rsidRPr="002930AA">
              <w:rPr>
                <w:color w:val="000000"/>
                <w:sz w:val="22"/>
                <w:szCs w:val="22"/>
              </w:rPr>
              <w:t> </w:t>
            </w:r>
          </w:p>
        </w:tc>
      </w:tr>
    </w:tbl>
    <w:p w:rsidR="00A67641" w:rsidRDefault="00A67641" w:rsidP="0077291C">
      <w:pPr>
        <w:pStyle w:val="Body"/>
        <w:ind w:firstLine="0"/>
      </w:pPr>
    </w:p>
    <w:p w:rsidR="004360F6" w:rsidRDefault="004360F6" w:rsidP="0077291C">
      <w:pPr>
        <w:pStyle w:val="Body"/>
        <w:ind w:firstLine="0"/>
      </w:pPr>
    </w:p>
    <w:p w:rsidR="004360F6" w:rsidRDefault="004360F6" w:rsidP="0077291C">
      <w:pPr>
        <w:pStyle w:val="Body"/>
        <w:ind w:firstLine="0"/>
      </w:pPr>
    </w:p>
    <w:p w:rsidR="004360F6" w:rsidRDefault="004360F6" w:rsidP="0077291C">
      <w:pPr>
        <w:pStyle w:val="Body"/>
        <w:ind w:firstLine="0"/>
      </w:pPr>
    </w:p>
    <w:p w:rsidR="000306B3" w:rsidRDefault="000306B3" w:rsidP="000750EE">
      <w:pPr>
        <w:pStyle w:val="Body"/>
        <w:ind w:firstLine="0"/>
      </w:pPr>
    </w:p>
    <w:p w:rsidR="000750EE" w:rsidRDefault="004360F6" w:rsidP="000750EE">
      <w:pPr>
        <w:pStyle w:val="Body"/>
        <w:ind w:firstLine="0"/>
        <w:rPr>
          <w:szCs w:val="24"/>
        </w:rPr>
      </w:pPr>
      <w:r>
        <w:t xml:space="preserve">Figure 1. </w:t>
      </w:r>
      <w:r w:rsidRPr="004360F6">
        <w:rPr>
          <w:szCs w:val="24"/>
        </w:rPr>
        <w:t>Negative H</w:t>
      </w:r>
      <w:r w:rsidRPr="004360F6">
        <w:rPr>
          <w:szCs w:val="24"/>
          <w:vertAlign w:val="subscript"/>
        </w:rPr>
        <w:t xml:space="preserve">α </w:t>
      </w:r>
      <w:r w:rsidRPr="004360F6">
        <w:rPr>
          <w:szCs w:val="24"/>
        </w:rPr>
        <w:t xml:space="preserve">for </w:t>
      </w:r>
      <w:r>
        <w:rPr>
          <w:szCs w:val="24"/>
        </w:rPr>
        <w:t>s</w:t>
      </w:r>
      <w:r w:rsidRPr="004360F6">
        <w:rPr>
          <w:szCs w:val="24"/>
        </w:rPr>
        <w:t xml:space="preserve">tudent </w:t>
      </w:r>
      <w:r>
        <w:rPr>
          <w:szCs w:val="24"/>
        </w:rPr>
        <w:t>r</w:t>
      </w:r>
      <w:r w:rsidRPr="004360F6">
        <w:rPr>
          <w:szCs w:val="24"/>
        </w:rPr>
        <w:t>eadiness postsecondary education and current employment</w:t>
      </w:r>
    </w:p>
    <w:p w:rsidR="004360F6" w:rsidRPr="004360F6" w:rsidRDefault="000750EE" w:rsidP="000750EE">
      <w:pPr>
        <w:pStyle w:val="Body"/>
        <w:ind w:firstLine="0"/>
      </w:pPr>
      <w:r>
        <w:rPr>
          <w:szCs w:val="24"/>
        </w:rPr>
        <w:t xml:space="preserve">               </w:t>
      </w:r>
      <w:proofErr w:type="gramStart"/>
      <w:r>
        <w:rPr>
          <w:szCs w:val="24"/>
        </w:rPr>
        <w:t>with</w:t>
      </w:r>
      <w:proofErr w:type="gramEnd"/>
      <w:r>
        <w:rPr>
          <w:szCs w:val="24"/>
        </w:rPr>
        <w:t xml:space="preserve"> variables representing sample Group </w:t>
      </w:r>
      <w:r w:rsidRPr="000750EE">
        <w:rPr>
          <w:i/>
          <w:szCs w:val="24"/>
        </w:rPr>
        <w:t>A</w:t>
      </w:r>
      <w:r>
        <w:rPr>
          <w:szCs w:val="24"/>
        </w:rPr>
        <w:t xml:space="preserve"> and </w:t>
      </w:r>
      <w:r w:rsidRPr="000750EE">
        <w:rPr>
          <w:i/>
          <w:szCs w:val="24"/>
        </w:rPr>
        <w:t>B</w:t>
      </w:r>
      <w:r>
        <w:rPr>
          <w:szCs w:val="24"/>
        </w:rPr>
        <w:t>.</w:t>
      </w:r>
    </w:p>
    <w:p w:rsidR="0077291C" w:rsidRDefault="004360F6">
      <w:pPr>
        <w:pStyle w:val="Body"/>
        <w:widowControl w:val="0"/>
        <w:tabs>
          <w:tab w:val="left" w:pos="3330"/>
        </w:tabs>
        <w:autoSpaceDE w:val="0"/>
        <w:autoSpaceDN w:val="0"/>
        <w:adjustRightInd w:val="0"/>
      </w:pPr>
      <w:r w:rsidRPr="004360F6">
        <w:rPr>
          <w:noProof/>
        </w:rPr>
        <w:drawing>
          <wp:inline distT="0" distB="0" distL="0" distR="0">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77291C">
        <w:t xml:space="preserve"> </w:t>
      </w:r>
    </w:p>
    <w:p w:rsidR="00163B75" w:rsidRDefault="00163B75" w:rsidP="0077291C">
      <w:pPr>
        <w:pStyle w:val="Body"/>
        <w:widowControl w:val="0"/>
        <w:tabs>
          <w:tab w:val="left" w:pos="3330"/>
        </w:tabs>
        <w:autoSpaceDE w:val="0"/>
        <w:autoSpaceDN w:val="0"/>
        <w:adjustRightInd w:val="0"/>
        <w:ind w:firstLine="0"/>
        <w:rPr>
          <w:i/>
        </w:rPr>
      </w:pPr>
      <w:r>
        <w:rPr>
          <w:i/>
        </w:rPr>
        <w:t>Survey and results</w:t>
      </w:r>
    </w:p>
    <w:p w:rsidR="006F0EE4" w:rsidRDefault="006F0EE4" w:rsidP="006F0EE4">
      <w:pPr>
        <w:pStyle w:val="Body"/>
        <w:widowControl w:val="0"/>
        <w:tabs>
          <w:tab w:val="left" w:pos="720"/>
          <w:tab w:val="left" w:pos="3330"/>
        </w:tabs>
        <w:autoSpaceDE w:val="0"/>
        <w:autoSpaceDN w:val="0"/>
        <w:adjustRightInd w:val="0"/>
        <w:ind w:firstLine="0"/>
      </w:pPr>
      <w:r>
        <w:tab/>
      </w:r>
      <w:r w:rsidR="002930AA">
        <w:t>The research team</w:t>
      </w:r>
      <w:r>
        <w:t xml:space="preserve"> members used the practical application paper assignment requiring the team to document a </w:t>
      </w:r>
      <w:r w:rsidR="000306B3">
        <w:t>possible research question about</w:t>
      </w:r>
      <w:r>
        <w:t xml:space="preserve"> how we would gather and document the study. In this case, the questionnaire chosen was administered to five classmates as a sample group for the issue of preparedness for higher education, the global </w:t>
      </w:r>
      <w:r w:rsidR="000306B3">
        <w:t>workplace, and technology. Whereas</w:t>
      </w:r>
      <w:r>
        <w:t xml:space="preserve"> we were confident in the efficiency of the correlation between pre and post secondary learning and its effect on both areas</w:t>
      </w:r>
      <w:proofErr w:type="gramStart"/>
      <w:r>
        <w:t>;</w:t>
      </w:r>
      <w:proofErr w:type="gramEnd"/>
      <w:r>
        <w:t xml:space="preserve"> multivariate outcomes emerged from the findings. </w:t>
      </w:r>
    </w:p>
    <w:p w:rsidR="006F0EE4" w:rsidRPr="006F0EE4" w:rsidRDefault="006F0EE4" w:rsidP="006F0EE4">
      <w:pPr>
        <w:pStyle w:val="Body"/>
        <w:widowControl w:val="0"/>
        <w:tabs>
          <w:tab w:val="left" w:pos="720"/>
          <w:tab w:val="left" w:pos="3330"/>
        </w:tabs>
        <w:autoSpaceDE w:val="0"/>
        <w:autoSpaceDN w:val="0"/>
        <w:adjustRightInd w:val="0"/>
        <w:ind w:firstLine="0"/>
      </w:pPr>
      <w:r>
        <w:tab/>
        <w:t>The focus of the question t</w:t>
      </w:r>
      <w:r w:rsidR="000306B3">
        <w:t>argeted the areas of study in which</w:t>
      </w:r>
      <w:r>
        <w:t xml:space="preserve"> students entering American colleges and universities found themselves lacking sufficiently to hinder their ability to </w:t>
      </w:r>
      <w:r w:rsidR="000306B3">
        <w:t>matriculate successfully</w:t>
      </w:r>
      <w:r>
        <w:t xml:space="preserve"> postsecondary learning. In this regard, the liberal arts subjects: Reading, Writing, Grammar, Spelling, and Vocabulary yielded a set of results; and sciences, such as Mathematics and Technology rendered a separate set. Lumped together, an unequal variance between how students were prepared for postsecondary learning and how they were prepared for their current world of work </w:t>
      </w:r>
      <w:r w:rsidR="00331F53">
        <w:t>displayed a statisti</w:t>
      </w:r>
      <w:r w:rsidR="000306B3">
        <w:t>cal deviation between -2.78 through</w:t>
      </w:r>
      <w:r w:rsidR="00331F53">
        <w:t xml:space="preserve"> 51.58 for Group </w:t>
      </w:r>
      <w:r w:rsidR="00331F53" w:rsidRPr="00331F53">
        <w:rPr>
          <w:i/>
        </w:rPr>
        <w:t>A</w:t>
      </w:r>
      <w:r w:rsidR="000306B3">
        <w:t>; and 5.573 through</w:t>
      </w:r>
      <w:r w:rsidR="00331F53">
        <w:t xml:space="preserve"> 75.76 for Group </w:t>
      </w:r>
      <w:r w:rsidR="00331F53" w:rsidRPr="00331F53">
        <w:rPr>
          <w:i/>
        </w:rPr>
        <w:t>B</w:t>
      </w:r>
      <w:r w:rsidR="00331F53">
        <w:t>. These numbers also represent a p-value assuming the nu</w:t>
      </w:r>
      <w:r w:rsidR="000306B3">
        <w:t>ll hypothesis is 0.40. The</w:t>
      </w:r>
      <w:r w:rsidR="00331F53">
        <w:t xml:space="preserve"> average median deviation is significant between the groups and within the variables of as much as 10. Thus, we felt confident that a one-tailed </w:t>
      </w:r>
      <w:r w:rsidR="00331F53" w:rsidRPr="00331F53">
        <w:rPr>
          <w:i/>
        </w:rPr>
        <w:t>t</w:t>
      </w:r>
      <w:r w:rsidR="00331F53">
        <w:t>-Test</w:t>
      </w:r>
      <w:r>
        <w:t xml:space="preserve"> </w:t>
      </w:r>
      <w:r w:rsidR="00331F53">
        <w:t xml:space="preserve">would skew the normal distribution left, giving justification for further research for this issue. To further view the conclusions drawn from the </w:t>
      </w:r>
      <w:r w:rsidR="00331F53" w:rsidRPr="00331F53">
        <w:rPr>
          <w:i/>
        </w:rPr>
        <w:t>10-item</w:t>
      </w:r>
      <w:r w:rsidR="00331F53">
        <w:t xml:space="preserve"> questionnaire for simple “yes-no” answers, frequency diagrams show percentiles for each category and target. </w:t>
      </w:r>
    </w:p>
    <w:p w:rsidR="00331F53" w:rsidRDefault="00331F53" w:rsidP="0077291C">
      <w:pPr>
        <w:pStyle w:val="Body"/>
        <w:widowControl w:val="0"/>
        <w:tabs>
          <w:tab w:val="left" w:pos="3330"/>
        </w:tabs>
        <w:autoSpaceDE w:val="0"/>
        <w:autoSpaceDN w:val="0"/>
        <w:adjustRightInd w:val="0"/>
        <w:ind w:firstLine="0"/>
        <w:rPr>
          <w:i/>
        </w:rPr>
      </w:pPr>
      <w:r>
        <w:rPr>
          <w:i/>
        </w:rPr>
        <w:t xml:space="preserve">Questionnaire outcomes: </w:t>
      </w:r>
      <w:r w:rsidR="00B937DB">
        <w:rPr>
          <w:i/>
        </w:rPr>
        <w:t>Frequency Charts and Bar Charts</w:t>
      </w:r>
    </w:p>
    <w:p w:rsidR="0073668C" w:rsidRDefault="00331F53" w:rsidP="00331F53">
      <w:pPr>
        <w:pStyle w:val="Body"/>
        <w:widowControl w:val="0"/>
        <w:tabs>
          <w:tab w:val="left" w:pos="720"/>
          <w:tab w:val="left" w:pos="3330"/>
        </w:tabs>
        <w:autoSpaceDE w:val="0"/>
        <w:autoSpaceDN w:val="0"/>
        <w:adjustRightInd w:val="0"/>
        <w:ind w:firstLine="0"/>
      </w:pPr>
      <w:r>
        <w:tab/>
        <w:t xml:space="preserve">The data for </w:t>
      </w:r>
      <w:r w:rsidRPr="0073668C">
        <w:rPr>
          <w:i/>
        </w:rPr>
        <w:t>Table 2</w:t>
      </w:r>
      <w:r>
        <w:t xml:space="preserve">, </w:t>
      </w:r>
      <w:r w:rsidRPr="0073668C">
        <w:rPr>
          <w:i/>
        </w:rPr>
        <w:t>Table 3</w:t>
      </w:r>
      <w:r w:rsidR="0073668C">
        <w:t xml:space="preserve"> reports the frequency of yes to no answers for the questionnaire. These are significant</w:t>
      </w:r>
      <w:r w:rsidR="00806C87" w:rsidRPr="0060100A">
        <w:rPr>
          <w:i/>
        </w:rPr>
        <w:t xml:space="preserve"> </w:t>
      </w:r>
      <w:r w:rsidR="000306B3">
        <w:t>numbers</w:t>
      </w:r>
      <w:r w:rsidR="0073668C">
        <w:t xml:space="preserve"> because one area of interest for our team was technology readiness in both circumstances. The frequencies of High School gra</w:t>
      </w:r>
      <w:r w:rsidR="005B6E66">
        <w:t xml:space="preserve">duates </w:t>
      </w:r>
      <w:r w:rsidR="002930AA">
        <w:t>answering,</w:t>
      </w:r>
      <w:r w:rsidR="005B6E66">
        <w:t xml:space="preserve"> “yes” to acquiring</w:t>
      </w:r>
      <w:r w:rsidR="0073668C">
        <w:t xml:space="preserve"> sufficient technology skills for entering postsecondary institutions differentiates from 20-50% approximately, and variances for the same courses are significant in </w:t>
      </w:r>
      <w:r w:rsidR="0073668C" w:rsidRPr="0073668C">
        <w:rPr>
          <w:i/>
        </w:rPr>
        <w:t>Table 3</w:t>
      </w:r>
      <w:r w:rsidR="0073668C">
        <w:t xml:space="preserve"> as 10 – 30%. It is curious to note the correlation between reading and technology frequency of readiness report lesser deviations than the deviations between technology and math for variables A and B. </w:t>
      </w:r>
    </w:p>
    <w:p w:rsidR="005B6E66" w:rsidRDefault="005B6E66" w:rsidP="00331F53">
      <w:pPr>
        <w:pStyle w:val="Body"/>
        <w:widowControl w:val="0"/>
        <w:tabs>
          <w:tab w:val="left" w:pos="720"/>
          <w:tab w:val="left" w:pos="3330"/>
        </w:tabs>
        <w:autoSpaceDE w:val="0"/>
        <w:autoSpaceDN w:val="0"/>
        <w:adjustRightInd w:val="0"/>
        <w:ind w:firstLine="0"/>
        <w:rPr>
          <w:i/>
        </w:rPr>
      </w:pPr>
    </w:p>
    <w:p w:rsidR="005B6E66" w:rsidRDefault="005B6E66" w:rsidP="00331F53">
      <w:pPr>
        <w:pStyle w:val="Body"/>
        <w:widowControl w:val="0"/>
        <w:tabs>
          <w:tab w:val="left" w:pos="720"/>
          <w:tab w:val="left" w:pos="3330"/>
        </w:tabs>
        <w:autoSpaceDE w:val="0"/>
        <w:autoSpaceDN w:val="0"/>
        <w:adjustRightInd w:val="0"/>
        <w:ind w:firstLine="0"/>
        <w:rPr>
          <w:i/>
        </w:rPr>
      </w:pPr>
    </w:p>
    <w:p w:rsidR="005B6E66" w:rsidRDefault="005B6E66" w:rsidP="00331F53">
      <w:pPr>
        <w:pStyle w:val="Body"/>
        <w:widowControl w:val="0"/>
        <w:tabs>
          <w:tab w:val="left" w:pos="720"/>
          <w:tab w:val="left" w:pos="3330"/>
        </w:tabs>
        <w:autoSpaceDE w:val="0"/>
        <w:autoSpaceDN w:val="0"/>
        <w:adjustRightInd w:val="0"/>
        <w:ind w:firstLine="0"/>
        <w:rPr>
          <w:i/>
        </w:rPr>
      </w:pPr>
    </w:p>
    <w:p w:rsidR="005B6E66" w:rsidRDefault="005B6E66" w:rsidP="00331F53">
      <w:pPr>
        <w:pStyle w:val="Body"/>
        <w:widowControl w:val="0"/>
        <w:tabs>
          <w:tab w:val="left" w:pos="720"/>
          <w:tab w:val="left" w:pos="3330"/>
        </w:tabs>
        <w:autoSpaceDE w:val="0"/>
        <w:autoSpaceDN w:val="0"/>
        <w:adjustRightInd w:val="0"/>
        <w:ind w:firstLine="0"/>
        <w:rPr>
          <w:i/>
        </w:rPr>
      </w:pPr>
    </w:p>
    <w:p w:rsidR="005B6E66" w:rsidRDefault="005B6E66" w:rsidP="00331F53">
      <w:pPr>
        <w:pStyle w:val="Body"/>
        <w:widowControl w:val="0"/>
        <w:tabs>
          <w:tab w:val="left" w:pos="720"/>
          <w:tab w:val="left" w:pos="3330"/>
        </w:tabs>
        <w:autoSpaceDE w:val="0"/>
        <w:autoSpaceDN w:val="0"/>
        <w:adjustRightInd w:val="0"/>
        <w:ind w:firstLine="0"/>
        <w:rPr>
          <w:i/>
        </w:rPr>
      </w:pPr>
    </w:p>
    <w:p w:rsidR="005B6E66" w:rsidRDefault="005B6E66" w:rsidP="00331F53">
      <w:pPr>
        <w:pStyle w:val="Body"/>
        <w:widowControl w:val="0"/>
        <w:tabs>
          <w:tab w:val="left" w:pos="720"/>
          <w:tab w:val="left" w:pos="3330"/>
        </w:tabs>
        <w:autoSpaceDE w:val="0"/>
        <w:autoSpaceDN w:val="0"/>
        <w:adjustRightInd w:val="0"/>
        <w:ind w:firstLine="0"/>
        <w:rPr>
          <w:i/>
        </w:rPr>
      </w:pPr>
    </w:p>
    <w:p w:rsidR="005B6E66" w:rsidRDefault="005B6E66" w:rsidP="00331F53">
      <w:pPr>
        <w:pStyle w:val="Body"/>
        <w:widowControl w:val="0"/>
        <w:tabs>
          <w:tab w:val="left" w:pos="720"/>
          <w:tab w:val="left" w:pos="3330"/>
        </w:tabs>
        <w:autoSpaceDE w:val="0"/>
        <w:autoSpaceDN w:val="0"/>
        <w:adjustRightInd w:val="0"/>
        <w:ind w:firstLine="0"/>
        <w:rPr>
          <w:i/>
        </w:rPr>
      </w:pPr>
    </w:p>
    <w:p w:rsidR="00806C87" w:rsidRPr="0073668C" w:rsidRDefault="0073668C" w:rsidP="00331F53">
      <w:pPr>
        <w:pStyle w:val="Body"/>
        <w:widowControl w:val="0"/>
        <w:tabs>
          <w:tab w:val="left" w:pos="720"/>
          <w:tab w:val="left" w:pos="3330"/>
        </w:tabs>
        <w:autoSpaceDE w:val="0"/>
        <w:autoSpaceDN w:val="0"/>
        <w:adjustRightInd w:val="0"/>
        <w:ind w:firstLine="0"/>
      </w:pPr>
      <w:r w:rsidRPr="0073668C">
        <w:rPr>
          <w:i/>
        </w:rPr>
        <w:t>Table 2</w:t>
      </w:r>
      <w:r>
        <w:t xml:space="preserve">: Group A (Variable A)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15"/>
        <w:gridCol w:w="7823"/>
      </w:tblGrid>
      <w:tr w:rsidR="00B937DB">
        <w:tc>
          <w:tcPr>
            <w:tcW w:w="9738" w:type="dxa"/>
            <w:gridSpan w:val="2"/>
          </w:tcPr>
          <w:p w:rsidR="00B937DB" w:rsidRPr="00B937DB" w:rsidRDefault="00B937DB" w:rsidP="00A67641">
            <w:pPr>
              <w:pStyle w:val="Body"/>
              <w:ind w:firstLine="0"/>
              <w:jc w:val="center"/>
              <w:rPr>
                <w:b/>
              </w:rPr>
            </w:pPr>
            <w:r w:rsidRPr="00B937DB">
              <w:rPr>
                <w:b/>
              </w:rPr>
              <w:t>Upon Graduating from High School, in what academic areas did you feel most prepared in for post-graduate study?</w:t>
            </w:r>
          </w:p>
        </w:tc>
      </w:tr>
      <w:tr w:rsidR="00B937DB">
        <w:tc>
          <w:tcPr>
            <w:tcW w:w="1915" w:type="dxa"/>
          </w:tcPr>
          <w:p w:rsidR="00B937DB" w:rsidRDefault="00B937DB" w:rsidP="00A67641">
            <w:pPr>
              <w:pStyle w:val="Body"/>
              <w:ind w:firstLine="0"/>
            </w:pPr>
          </w:p>
        </w:tc>
        <w:tc>
          <w:tcPr>
            <w:tcW w:w="7823" w:type="dxa"/>
          </w:tcPr>
          <w:p w:rsidR="00B937DB" w:rsidRPr="00F62B32" w:rsidRDefault="00B937DB" w:rsidP="00A67641">
            <w:pPr>
              <w:pStyle w:val="Body"/>
              <w:ind w:firstLine="0"/>
              <w:jc w:val="center"/>
              <w:rPr>
                <w:b/>
              </w:rPr>
            </w:pPr>
            <w:r>
              <w:rPr>
                <w:b/>
              </w:rPr>
              <w:t>Frequency</w:t>
            </w:r>
          </w:p>
        </w:tc>
      </w:tr>
      <w:tr w:rsidR="00B937DB">
        <w:tc>
          <w:tcPr>
            <w:tcW w:w="1915" w:type="dxa"/>
          </w:tcPr>
          <w:p w:rsidR="00B937DB" w:rsidRPr="00F62B32" w:rsidRDefault="00B937DB" w:rsidP="00A67641">
            <w:pPr>
              <w:pStyle w:val="Body"/>
              <w:ind w:firstLine="0"/>
              <w:jc w:val="center"/>
              <w:rPr>
                <w:b/>
              </w:rPr>
            </w:pPr>
            <w:r>
              <w:rPr>
                <w:b/>
              </w:rPr>
              <w:t>Technology</w:t>
            </w:r>
          </w:p>
        </w:tc>
        <w:tc>
          <w:tcPr>
            <w:tcW w:w="7823" w:type="dxa"/>
          </w:tcPr>
          <w:p w:rsidR="00B937DB" w:rsidRDefault="00B937DB" w:rsidP="00A67641">
            <w:pPr>
              <w:pStyle w:val="Body"/>
              <w:ind w:firstLine="0"/>
              <w:jc w:val="center"/>
            </w:pPr>
            <w:r>
              <w:t>11%</w:t>
            </w:r>
          </w:p>
        </w:tc>
      </w:tr>
      <w:tr w:rsidR="00B937DB">
        <w:tc>
          <w:tcPr>
            <w:tcW w:w="1915" w:type="dxa"/>
          </w:tcPr>
          <w:p w:rsidR="00B937DB" w:rsidRPr="00F62B32" w:rsidRDefault="00B937DB" w:rsidP="00A67641">
            <w:pPr>
              <w:pStyle w:val="Body"/>
              <w:ind w:firstLine="0"/>
              <w:jc w:val="center"/>
              <w:rPr>
                <w:b/>
              </w:rPr>
            </w:pPr>
            <w:r>
              <w:rPr>
                <w:b/>
              </w:rPr>
              <w:t>Reading</w:t>
            </w:r>
          </w:p>
        </w:tc>
        <w:tc>
          <w:tcPr>
            <w:tcW w:w="7823" w:type="dxa"/>
          </w:tcPr>
          <w:p w:rsidR="00B937DB" w:rsidRDefault="00B937DB" w:rsidP="00A67641">
            <w:pPr>
              <w:pStyle w:val="Body"/>
              <w:ind w:firstLine="0"/>
              <w:jc w:val="center"/>
            </w:pPr>
            <w:r>
              <w:t>33%</w:t>
            </w:r>
          </w:p>
        </w:tc>
      </w:tr>
      <w:tr w:rsidR="00B937DB">
        <w:tc>
          <w:tcPr>
            <w:tcW w:w="1915" w:type="dxa"/>
          </w:tcPr>
          <w:p w:rsidR="00B937DB" w:rsidRDefault="00B937DB" w:rsidP="00A67641">
            <w:pPr>
              <w:pStyle w:val="Body"/>
              <w:ind w:firstLine="0"/>
              <w:jc w:val="center"/>
              <w:rPr>
                <w:b/>
              </w:rPr>
            </w:pPr>
            <w:r>
              <w:rPr>
                <w:b/>
              </w:rPr>
              <w:t>Math</w:t>
            </w:r>
          </w:p>
        </w:tc>
        <w:tc>
          <w:tcPr>
            <w:tcW w:w="7823" w:type="dxa"/>
          </w:tcPr>
          <w:p w:rsidR="00B937DB" w:rsidRDefault="00B937DB" w:rsidP="00A67641">
            <w:pPr>
              <w:pStyle w:val="Body"/>
              <w:ind w:firstLine="0"/>
              <w:jc w:val="center"/>
            </w:pPr>
            <w:r>
              <w:t>78%</w:t>
            </w:r>
          </w:p>
        </w:tc>
      </w:tr>
    </w:tbl>
    <w:p w:rsidR="00CC355E" w:rsidRDefault="00CC355E" w:rsidP="0073668C">
      <w:pPr>
        <w:pStyle w:val="Body"/>
        <w:ind w:firstLine="0"/>
      </w:pPr>
    </w:p>
    <w:p w:rsidR="0073668C" w:rsidRDefault="0073668C" w:rsidP="0073668C">
      <w:pPr>
        <w:pStyle w:val="Body"/>
        <w:ind w:firstLine="0"/>
      </w:pPr>
      <w:r w:rsidRPr="0073668C">
        <w:rPr>
          <w:i/>
        </w:rPr>
        <w:t>Table 3</w:t>
      </w:r>
      <w:r>
        <w:t>. Group B (Variable B)</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15"/>
        <w:gridCol w:w="7823"/>
      </w:tblGrid>
      <w:tr w:rsidR="00CC355E">
        <w:tc>
          <w:tcPr>
            <w:tcW w:w="9738" w:type="dxa"/>
            <w:gridSpan w:val="2"/>
          </w:tcPr>
          <w:p w:rsidR="00CC355E" w:rsidRPr="00B937DB" w:rsidRDefault="00CC355E" w:rsidP="00A67641">
            <w:pPr>
              <w:pStyle w:val="Body"/>
              <w:ind w:firstLine="0"/>
              <w:jc w:val="center"/>
              <w:rPr>
                <w:b/>
              </w:rPr>
            </w:pPr>
            <w:r w:rsidRPr="00CC355E">
              <w:rPr>
                <w:b/>
              </w:rPr>
              <w:t>In your current job, what academic areas from High School helped you the most?</w:t>
            </w:r>
            <w:r w:rsidRPr="00B937DB">
              <w:rPr>
                <w:b/>
              </w:rPr>
              <w:t>?</w:t>
            </w:r>
          </w:p>
        </w:tc>
      </w:tr>
      <w:tr w:rsidR="00CC355E">
        <w:tc>
          <w:tcPr>
            <w:tcW w:w="1915" w:type="dxa"/>
          </w:tcPr>
          <w:p w:rsidR="00CC355E" w:rsidRDefault="00CC355E" w:rsidP="00A67641">
            <w:pPr>
              <w:pStyle w:val="Body"/>
              <w:ind w:firstLine="0"/>
            </w:pPr>
          </w:p>
        </w:tc>
        <w:tc>
          <w:tcPr>
            <w:tcW w:w="7823" w:type="dxa"/>
          </w:tcPr>
          <w:p w:rsidR="00CC355E" w:rsidRPr="00F62B32" w:rsidRDefault="00CC355E" w:rsidP="00A67641">
            <w:pPr>
              <w:pStyle w:val="Body"/>
              <w:ind w:firstLine="0"/>
              <w:jc w:val="center"/>
              <w:rPr>
                <w:b/>
              </w:rPr>
            </w:pPr>
            <w:r>
              <w:rPr>
                <w:b/>
              </w:rPr>
              <w:t>Frequency</w:t>
            </w:r>
          </w:p>
        </w:tc>
      </w:tr>
      <w:tr w:rsidR="00CC355E">
        <w:tc>
          <w:tcPr>
            <w:tcW w:w="1915" w:type="dxa"/>
          </w:tcPr>
          <w:p w:rsidR="00CC355E" w:rsidRPr="00F62B32" w:rsidRDefault="00CC355E" w:rsidP="00A67641">
            <w:pPr>
              <w:pStyle w:val="Body"/>
              <w:ind w:firstLine="0"/>
              <w:jc w:val="center"/>
              <w:rPr>
                <w:b/>
              </w:rPr>
            </w:pPr>
            <w:r>
              <w:rPr>
                <w:b/>
              </w:rPr>
              <w:t>Writing</w:t>
            </w:r>
          </w:p>
        </w:tc>
        <w:tc>
          <w:tcPr>
            <w:tcW w:w="7823" w:type="dxa"/>
          </w:tcPr>
          <w:p w:rsidR="00CC355E" w:rsidRDefault="00CC355E" w:rsidP="00A67641">
            <w:pPr>
              <w:pStyle w:val="Body"/>
              <w:ind w:firstLine="0"/>
              <w:jc w:val="center"/>
            </w:pPr>
            <w:r>
              <w:t>11%</w:t>
            </w:r>
          </w:p>
        </w:tc>
      </w:tr>
      <w:tr w:rsidR="00CC355E">
        <w:tc>
          <w:tcPr>
            <w:tcW w:w="1915" w:type="dxa"/>
          </w:tcPr>
          <w:p w:rsidR="00CC355E" w:rsidRPr="00F62B32" w:rsidRDefault="00CC355E" w:rsidP="00A67641">
            <w:pPr>
              <w:pStyle w:val="Body"/>
              <w:ind w:firstLine="0"/>
              <w:jc w:val="center"/>
              <w:rPr>
                <w:b/>
              </w:rPr>
            </w:pPr>
            <w:r>
              <w:rPr>
                <w:b/>
              </w:rPr>
              <w:t>Technology</w:t>
            </w:r>
          </w:p>
        </w:tc>
        <w:tc>
          <w:tcPr>
            <w:tcW w:w="7823" w:type="dxa"/>
          </w:tcPr>
          <w:p w:rsidR="00CC355E" w:rsidRDefault="00CC355E" w:rsidP="00A67641">
            <w:pPr>
              <w:pStyle w:val="Body"/>
              <w:ind w:firstLine="0"/>
              <w:jc w:val="center"/>
            </w:pPr>
            <w:r>
              <w:t>22%</w:t>
            </w:r>
          </w:p>
        </w:tc>
      </w:tr>
      <w:tr w:rsidR="00CC355E">
        <w:tc>
          <w:tcPr>
            <w:tcW w:w="1915" w:type="dxa"/>
          </w:tcPr>
          <w:p w:rsidR="00CC355E" w:rsidRDefault="00CC355E" w:rsidP="00A67641">
            <w:pPr>
              <w:pStyle w:val="Body"/>
              <w:ind w:firstLine="0"/>
              <w:jc w:val="center"/>
              <w:rPr>
                <w:b/>
              </w:rPr>
            </w:pPr>
            <w:r>
              <w:rPr>
                <w:b/>
              </w:rPr>
              <w:t>Reading</w:t>
            </w:r>
          </w:p>
        </w:tc>
        <w:tc>
          <w:tcPr>
            <w:tcW w:w="7823" w:type="dxa"/>
          </w:tcPr>
          <w:p w:rsidR="00CC355E" w:rsidRDefault="00CC355E" w:rsidP="00A67641">
            <w:pPr>
              <w:pStyle w:val="Body"/>
              <w:ind w:firstLine="0"/>
              <w:jc w:val="center"/>
            </w:pPr>
            <w:r>
              <w:t>22%</w:t>
            </w:r>
          </w:p>
        </w:tc>
      </w:tr>
      <w:tr w:rsidR="00CC355E">
        <w:tc>
          <w:tcPr>
            <w:tcW w:w="1915" w:type="dxa"/>
          </w:tcPr>
          <w:p w:rsidR="00CC355E" w:rsidRDefault="00CC355E" w:rsidP="00A67641">
            <w:pPr>
              <w:pStyle w:val="Body"/>
              <w:ind w:firstLine="0"/>
              <w:jc w:val="center"/>
              <w:rPr>
                <w:b/>
              </w:rPr>
            </w:pPr>
            <w:r>
              <w:rPr>
                <w:b/>
              </w:rPr>
              <w:t>Math</w:t>
            </w:r>
          </w:p>
        </w:tc>
        <w:tc>
          <w:tcPr>
            <w:tcW w:w="7823" w:type="dxa"/>
          </w:tcPr>
          <w:p w:rsidR="00CC355E" w:rsidRDefault="00CC355E" w:rsidP="00A67641">
            <w:pPr>
              <w:pStyle w:val="Body"/>
              <w:ind w:firstLine="0"/>
              <w:jc w:val="center"/>
            </w:pPr>
            <w:r>
              <w:t>56%</w:t>
            </w:r>
          </w:p>
        </w:tc>
      </w:tr>
      <w:tr w:rsidR="00CC355E">
        <w:tc>
          <w:tcPr>
            <w:tcW w:w="1915" w:type="dxa"/>
          </w:tcPr>
          <w:p w:rsidR="00CC355E" w:rsidRDefault="00CC355E" w:rsidP="00A67641">
            <w:pPr>
              <w:pStyle w:val="Body"/>
              <w:ind w:firstLine="0"/>
              <w:jc w:val="center"/>
              <w:rPr>
                <w:b/>
              </w:rPr>
            </w:pPr>
            <w:r>
              <w:rPr>
                <w:b/>
              </w:rPr>
              <w:t>Other</w:t>
            </w:r>
          </w:p>
        </w:tc>
        <w:tc>
          <w:tcPr>
            <w:tcW w:w="7823" w:type="dxa"/>
          </w:tcPr>
          <w:p w:rsidR="00CC355E" w:rsidRDefault="00CC355E" w:rsidP="00A67641">
            <w:pPr>
              <w:pStyle w:val="Body"/>
              <w:ind w:firstLine="0"/>
              <w:jc w:val="center"/>
            </w:pPr>
            <w:r>
              <w:t>11%</w:t>
            </w:r>
          </w:p>
        </w:tc>
      </w:tr>
    </w:tbl>
    <w:p w:rsidR="001A6044" w:rsidRDefault="001A6044" w:rsidP="0073668C">
      <w:pPr>
        <w:pStyle w:val="Body"/>
        <w:ind w:firstLine="0"/>
      </w:pPr>
    </w:p>
    <w:p w:rsidR="00BE35C2" w:rsidRDefault="00BE35C2" w:rsidP="0073668C">
      <w:pPr>
        <w:pStyle w:val="Body"/>
        <w:ind w:firstLine="0"/>
      </w:pPr>
      <w:r>
        <w:tab/>
        <w:t xml:space="preserve">Finally, the tabulation of the results is shown as </w:t>
      </w:r>
      <w:r w:rsidRPr="00BE35C2">
        <w:rPr>
          <w:u w:val="single"/>
        </w:rPr>
        <w:t>Figure 2</w:t>
      </w:r>
      <w:r>
        <w:t xml:space="preserve"> and </w:t>
      </w:r>
      <w:r w:rsidRPr="00BE35C2">
        <w:rPr>
          <w:u w:val="single"/>
        </w:rPr>
        <w:t>Figure 3</w:t>
      </w:r>
      <w:r>
        <w:t>. These statistics give a full view of the pretrial research that this summary represents. The emergence of the outcome revealing the deficiency of technology education in the pre and post secondary level is unequal and justifies resolutions to go further with this research to ascertain the areas of weakness in educat</w:t>
      </w:r>
      <w:r w:rsidR="005B6E66">
        <w:t>ion before the university and</w:t>
      </w:r>
      <w:r>
        <w:t xml:space="preserve"> college level. At the same time, the population </w:t>
      </w:r>
      <w:r w:rsidR="002930AA">
        <w:t>chosen,</w:t>
      </w:r>
      <w:r>
        <w:t xml:space="preserve"> as a sample may not be a valid representative s</w:t>
      </w:r>
      <w:r w:rsidR="005B6E66">
        <w:t>ampling for this question, because</w:t>
      </w:r>
      <w:r>
        <w:t xml:space="preserve"> the pie graph represents a majority of students consider their math education sufficient for their furt</w:t>
      </w:r>
      <w:r w:rsidR="005B6E66">
        <w:t>her studies and work. Some</w:t>
      </w:r>
      <w:r>
        <w:t xml:space="preserve"> qualitative research may be warranted for this question as well.</w:t>
      </w:r>
    </w:p>
    <w:p w:rsidR="005B6E66" w:rsidRDefault="005B6E66" w:rsidP="0073668C">
      <w:pPr>
        <w:pStyle w:val="Body"/>
        <w:ind w:firstLine="0"/>
      </w:pPr>
    </w:p>
    <w:p w:rsidR="00BE35C2" w:rsidRDefault="00BE35C2" w:rsidP="0073668C">
      <w:pPr>
        <w:pStyle w:val="Body"/>
        <w:ind w:firstLine="0"/>
      </w:pPr>
      <w:r>
        <w:t xml:space="preserve">Figure 2. Group A (Variable A) Pie Chart  </w:t>
      </w:r>
    </w:p>
    <w:p w:rsidR="001A6044" w:rsidRDefault="001A6044" w:rsidP="00D84CD8">
      <w:pPr>
        <w:pStyle w:val="Body"/>
      </w:pPr>
      <w:r w:rsidRPr="001A6044">
        <w:rPr>
          <w:noProof/>
        </w:rPr>
        <w:drawing>
          <wp:inline distT="0" distB="0" distL="0" distR="0">
            <wp:extent cx="4572000" cy="2743200"/>
            <wp:effectExtent l="25400" t="25400" r="0" b="0"/>
            <wp:docPr id="1"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E35C2" w:rsidRDefault="00BE35C2" w:rsidP="00BE35C2">
      <w:pPr>
        <w:pStyle w:val="Body"/>
        <w:ind w:firstLine="0"/>
      </w:pPr>
      <w:r>
        <w:t>Figure 3. Group B (Variable B) Histogram</w:t>
      </w:r>
    </w:p>
    <w:p w:rsidR="00275E88" w:rsidRDefault="001A6044" w:rsidP="00D84CD8">
      <w:pPr>
        <w:pStyle w:val="Body"/>
      </w:pPr>
      <w:r w:rsidRPr="001A6044">
        <w:rPr>
          <w:noProof/>
        </w:rPr>
        <w:drawing>
          <wp:inline distT="0" distB="0" distL="0" distR="0">
            <wp:extent cx="4572000" cy="2743200"/>
            <wp:effectExtent l="25400" t="25400" r="0" b="0"/>
            <wp:docPr id="2"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6E66" w:rsidRDefault="005B6E66" w:rsidP="00157E19">
      <w:pPr>
        <w:pStyle w:val="Body"/>
        <w:ind w:firstLine="0"/>
        <w:rPr>
          <w:i/>
        </w:rPr>
      </w:pPr>
    </w:p>
    <w:p w:rsidR="00531F82" w:rsidRDefault="00157E19" w:rsidP="00157E19">
      <w:pPr>
        <w:pStyle w:val="Body"/>
        <w:ind w:firstLine="0"/>
        <w:rPr>
          <w:i/>
        </w:rPr>
      </w:pPr>
      <w:r w:rsidRPr="0060100A">
        <w:rPr>
          <w:i/>
        </w:rPr>
        <w:t>Conclusion</w:t>
      </w:r>
    </w:p>
    <w:p w:rsidR="00157E19" w:rsidRPr="00531F82" w:rsidRDefault="00531F82" w:rsidP="00531F82">
      <w:pPr>
        <w:pStyle w:val="Body"/>
        <w:ind w:firstLine="0"/>
      </w:pPr>
      <w:r>
        <w:tab/>
        <w:t>The research team identified</w:t>
      </w:r>
      <w:r w:rsidR="007B29AF">
        <w:t xml:space="preserve"> the problem of students’ underprepared for success in</w:t>
      </w:r>
      <w:r>
        <w:t xml:space="preserve"> post</w:t>
      </w:r>
      <w:r w:rsidR="007B29AF">
        <w:t>-</w:t>
      </w:r>
      <w:r>
        <w:t>secondary education as well as in the workplace. A questionnaire on the topic of preparedness was given to a sample of five students. As the data was analyzed, multivariate outcomes emerged. An unequal variance was found between how students were prepared for post secondary education and how they we</w:t>
      </w:r>
      <w:r w:rsidR="007B29AF">
        <w:t>re prepared for the workplace. Furthermore, t</w:t>
      </w:r>
      <w:r>
        <w:t>he average median deviation between the groups and var</w:t>
      </w:r>
      <w:r w:rsidR="005B6E66">
        <w:t>iables was up to 10.  T</w:t>
      </w:r>
      <w:r>
        <w:t>o justify further research, a one tailed test was conducted. Regarding the responses to the yes</w:t>
      </w:r>
      <w:r w:rsidR="005B6E66">
        <w:t xml:space="preserve"> and no questions, students believe</w:t>
      </w:r>
      <w:r>
        <w:t xml:space="preserve"> they were better prepared from their mathematics courses for both higher education and entrance i</w:t>
      </w:r>
      <w:r w:rsidR="005B6E66">
        <w:t>nto the work world. The data showed f</w:t>
      </w:r>
      <w:r>
        <w:t xml:space="preserve">ewer responses for preparedness in reading and technology, just as the research team assumed. </w:t>
      </w:r>
    </w:p>
    <w:p w:rsidR="00745E3E" w:rsidRPr="004810E1" w:rsidRDefault="00275E88">
      <w:pPr>
        <w:pStyle w:val="Body"/>
        <w:ind w:firstLine="0"/>
        <w:rPr>
          <w:color w:val="000000" w:themeColor="text1"/>
        </w:rPr>
      </w:pPr>
      <w:r w:rsidRPr="00A64D75">
        <w:rPr>
          <w:color w:val="FF0000"/>
        </w:rPr>
        <w:tab/>
      </w:r>
      <w:r w:rsidR="00B930CB" w:rsidRPr="004810E1">
        <w:rPr>
          <w:color w:val="000000" w:themeColor="text1"/>
        </w:rPr>
        <w:t xml:space="preserve"> </w:t>
      </w:r>
    </w:p>
    <w:p w:rsidR="00806C87" w:rsidRDefault="00806C87">
      <w:pPr>
        <w:pStyle w:val="Body"/>
        <w:jc w:val="center"/>
      </w:pPr>
      <w:r>
        <w:br w:type="page"/>
        <w:t>References</w:t>
      </w:r>
    </w:p>
    <w:p w:rsidR="00C23EC3" w:rsidRDefault="00C23EC3">
      <w:pPr>
        <w:widowControl w:val="0"/>
        <w:autoSpaceDE w:val="0"/>
        <w:autoSpaceDN w:val="0"/>
        <w:adjustRightInd w:val="0"/>
        <w:rPr>
          <w:i/>
          <w:u w:color="2D679B"/>
        </w:rPr>
      </w:pPr>
      <w:proofErr w:type="spellStart"/>
      <w:r w:rsidRPr="00C23EC3">
        <w:rPr>
          <w:u w:color="2D679B"/>
        </w:rPr>
        <w:t>Callis</w:t>
      </w:r>
      <w:proofErr w:type="spellEnd"/>
      <w:r w:rsidRPr="00C23EC3">
        <w:rPr>
          <w:u w:color="2D679B"/>
        </w:rPr>
        <w:t xml:space="preserve">, C., </w:t>
      </w:r>
      <w:proofErr w:type="spellStart"/>
      <w:r w:rsidRPr="00C23EC3">
        <w:rPr>
          <w:u w:color="2D679B"/>
        </w:rPr>
        <w:t>Herl</w:t>
      </w:r>
      <w:proofErr w:type="gramStart"/>
      <w:r w:rsidRPr="00C23EC3">
        <w:rPr>
          <w:u w:color="2D679B"/>
        </w:rPr>
        <w:t>,D</w:t>
      </w:r>
      <w:proofErr w:type="spellEnd"/>
      <w:proofErr w:type="gramEnd"/>
      <w:r w:rsidRPr="00C23EC3">
        <w:rPr>
          <w:u w:color="2D679B"/>
        </w:rPr>
        <w:t xml:space="preserve">., </w:t>
      </w:r>
      <w:proofErr w:type="spellStart"/>
      <w:r w:rsidRPr="00C23EC3">
        <w:rPr>
          <w:u w:color="2D679B"/>
        </w:rPr>
        <w:t>Lutz,L</w:t>
      </w:r>
      <w:proofErr w:type="spellEnd"/>
      <w:r w:rsidRPr="00C23EC3">
        <w:rPr>
          <w:u w:color="2D679B"/>
        </w:rPr>
        <w:t xml:space="preserve">., </w:t>
      </w:r>
      <w:proofErr w:type="spellStart"/>
      <w:r w:rsidRPr="00C23EC3">
        <w:rPr>
          <w:u w:color="2D679B"/>
        </w:rPr>
        <w:t>Watkins,M</w:t>
      </w:r>
      <w:proofErr w:type="spellEnd"/>
      <w:r w:rsidRPr="00C23EC3">
        <w:rPr>
          <w:u w:color="2D679B"/>
        </w:rPr>
        <w:t>. (2009)</w:t>
      </w:r>
      <w:r>
        <w:rPr>
          <w:u w:color="2D679B"/>
        </w:rPr>
        <w:t>.</w:t>
      </w:r>
      <w:r w:rsidRPr="00C23EC3">
        <w:rPr>
          <w:u w:color="2D679B"/>
        </w:rPr>
        <w:t xml:space="preserve"> </w:t>
      </w:r>
      <w:r w:rsidRPr="00C23EC3">
        <w:rPr>
          <w:i/>
          <w:u w:color="2D679B"/>
        </w:rPr>
        <w:t>Student preparedness in the 21st century: A</w:t>
      </w:r>
    </w:p>
    <w:p w:rsidR="00806C87" w:rsidRDefault="00C23EC3" w:rsidP="009D5E1C">
      <w:pPr>
        <w:widowControl w:val="0"/>
        <w:autoSpaceDE w:val="0"/>
        <w:autoSpaceDN w:val="0"/>
        <w:adjustRightInd w:val="0"/>
        <w:ind w:left="720"/>
        <w:rPr>
          <w:u w:color="2D679B"/>
        </w:rPr>
      </w:pPr>
      <w:proofErr w:type="spellStart"/>
      <w:proofErr w:type="gramStart"/>
      <w:r w:rsidRPr="00C23EC3">
        <w:rPr>
          <w:i/>
          <w:u w:color="2D679B"/>
        </w:rPr>
        <w:t>surburban</w:t>
      </w:r>
      <w:proofErr w:type="spellEnd"/>
      <w:proofErr w:type="gramEnd"/>
      <w:r w:rsidRPr="00C23EC3">
        <w:rPr>
          <w:i/>
          <w:u w:color="2D679B"/>
        </w:rPr>
        <w:t xml:space="preserve"> district's perspective</w:t>
      </w:r>
      <w:r w:rsidRPr="00C23EC3">
        <w:rPr>
          <w:u w:color="2D679B"/>
        </w:rPr>
        <w:t xml:space="preserve">. </w:t>
      </w:r>
      <w:proofErr w:type="gramStart"/>
      <w:r w:rsidRPr="00C23EC3">
        <w:rPr>
          <w:u w:color="2D679B"/>
        </w:rPr>
        <w:t>Proceedings of the 5th Annual GRASP Symposium, Wichita State University.</w:t>
      </w:r>
      <w:proofErr w:type="gramEnd"/>
      <w:r w:rsidR="009D5E1C">
        <w:rPr>
          <w:u w:color="2D679B"/>
        </w:rPr>
        <w:t xml:space="preserve"> Retrieved April 24, 2010 from Google Scholar.</w:t>
      </w:r>
    </w:p>
    <w:p w:rsidR="00C23EC3" w:rsidRDefault="00C23EC3">
      <w:pPr>
        <w:widowControl w:val="0"/>
        <w:autoSpaceDE w:val="0"/>
        <w:autoSpaceDN w:val="0"/>
        <w:adjustRightInd w:val="0"/>
        <w:rPr>
          <w:u w:color="2D679B"/>
        </w:rPr>
      </w:pPr>
    </w:p>
    <w:p w:rsidR="009D5E1C" w:rsidRDefault="00C23EC3" w:rsidP="009D5E1C">
      <w:pPr>
        <w:widowControl w:val="0"/>
        <w:autoSpaceDE w:val="0"/>
        <w:autoSpaceDN w:val="0"/>
        <w:adjustRightInd w:val="0"/>
        <w:rPr>
          <w:u w:color="2D679B"/>
        </w:rPr>
      </w:pPr>
      <w:proofErr w:type="spellStart"/>
      <w:r w:rsidRPr="00C23EC3">
        <w:rPr>
          <w:u w:color="2D679B"/>
        </w:rPr>
        <w:t>DigitalCommons@University</w:t>
      </w:r>
      <w:proofErr w:type="spellEnd"/>
      <w:r w:rsidRPr="00C23EC3">
        <w:rPr>
          <w:u w:color="2D679B"/>
        </w:rPr>
        <w:t xml:space="preserve"> of Nebraska - Lincoln. (2010)</w:t>
      </w:r>
      <w:proofErr w:type="gramStart"/>
      <w:r w:rsidRPr="00C23EC3">
        <w:rPr>
          <w:u w:color="2D679B"/>
        </w:rPr>
        <w:t>. Home Page.</w:t>
      </w:r>
      <w:proofErr w:type="gramEnd"/>
      <w:r w:rsidRPr="00C23EC3">
        <w:rPr>
          <w:u w:color="2D679B"/>
        </w:rPr>
        <w:t xml:space="preserve"> </w:t>
      </w:r>
    </w:p>
    <w:p w:rsidR="00806C87" w:rsidRDefault="00C23EC3" w:rsidP="009D5E1C">
      <w:pPr>
        <w:widowControl w:val="0"/>
        <w:autoSpaceDE w:val="0"/>
        <w:autoSpaceDN w:val="0"/>
        <w:adjustRightInd w:val="0"/>
        <w:ind w:firstLine="720"/>
        <w:rPr>
          <w:u w:color="2D679B"/>
        </w:rPr>
      </w:pPr>
      <w:r w:rsidRPr="00C23EC3">
        <w:rPr>
          <w:u w:color="2D679B"/>
        </w:rPr>
        <w:t xml:space="preserve">Retrieved </w:t>
      </w:r>
      <w:r w:rsidR="009D5E1C">
        <w:rPr>
          <w:u w:color="2D679B"/>
        </w:rPr>
        <w:t xml:space="preserve">April 24, 2010 </w:t>
      </w:r>
      <w:r w:rsidRPr="00C23EC3">
        <w:rPr>
          <w:u w:color="2D679B"/>
        </w:rPr>
        <w:t>from</w:t>
      </w:r>
      <w:r w:rsidR="009D5E1C">
        <w:rPr>
          <w:u w:color="2D679B"/>
        </w:rPr>
        <w:t xml:space="preserve"> </w:t>
      </w:r>
      <w:r w:rsidRPr="00C23EC3">
        <w:rPr>
          <w:u w:color="2D679B"/>
        </w:rPr>
        <w:t>http://digitalcommons.unl.edu/psychfapub/102</w:t>
      </w:r>
      <w:r w:rsidR="009D5E1C">
        <w:rPr>
          <w:u w:color="2D679B"/>
        </w:rPr>
        <w:t>.</w:t>
      </w:r>
    </w:p>
    <w:p w:rsidR="00806C87" w:rsidRDefault="00806C87">
      <w:pPr>
        <w:widowControl w:val="0"/>
        <w:autoSpaceDE w:val="0"/>
        <w:autoSpaceDN w:val="0"/>
        <w:adjustRightInd w:val="0"/>
        <w:ind w:firstLine="720"/>
        <w:rPr>
          <w:u w:color="2D679B"/>
        </w:rPr>
      </w:pPr>
    </w:p>
    <w:p w:rsidR="00806C87" w:rsidRDefault="00806C87">
      <w:pPr>
        <w:widowControl w:val="0"/>
        <w:autoSpaceDE w:val="0"/>
        <w:autoSpaceDN w:val="0"/>
        <w:adjustRightInd w:val="0"/>
        <w:rPr>
          <w:u w:color="2D679B"/>
        </w:rPr>
      </w:pPr>
    </w:p>
    <w:p w:rsidR="00806C87" w:rsidRDefault="00806C87">
      <w:pPr>
        <w:widowControl w:val="0"/>
        <w:autoSpaceDE w:val="0"/>
        <w:autoSpaceDN w:val="0"/>
        <w:adjustRightInd w:val="0"/>
        <w:ind w:firstLine="720"/>
        <w:rPr>
          <w:u w:color="2D679B"/>
        </w:rPr>
      </w:pPr>
    </w:p>
    <w:sectPr w:rsidR="00806C87" w:rsidSect="00526C71">
      <w:headerReference w:type="default" r:id="rId10"/>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6B3" w:rsidRDefault="000306B3">
      <w:pPr>
        <w:spacing w:line="480" w:lineRule="auto"/>
        <w:jc w:val="center"/>
      </w:pPr>
      <w:r>
        <w:t>Footnotes</w:t>
      </w:r>
    </w:p>
  </w:endnote>
  <w:endnote w:type="continuationSeparator" w:id="0">
    <w:p w:rsidR="000306B3" w:rsidRDefault="00030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6B3" w:rsidRDefault="000306B3">
      <w:r>
        <w:separator/>
      </w:r>
    </w:p>
  </w:footnote>
  <w:footnote w:type="continuationSeparator" w:id="0">
    <w:p w:rsidR="000306B3" w:rsidRDefault="000306B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6B3" w:rsidRDefault="000306B3">
    <w:pPr>
      <w:pStyle w:val="Header"/>
      <w:ind w:left="5040"/>
    </w:pPr>
    <w:r>
      <w:t xml:space="preserve">Practical Application–Descriptive Statistics </w:t>
    </w:r>
    <w:r>
      <w:tab/>
    </w:r>
    <w:r w:rsidR="00E51556">
      <w:rPr>
        <w:rStyle w:val="PageNumber"/>
      </w:rPr>
      <w:fldChar w:fldCharType="begin"/>
    </w:r>
    <w:r>
      <w:rPr>
        <w:rStyle w:val="PageNumber"/>
      </w:rPr>
      <w:instrText xml:space="preserve"> PAGE </w:instrText>
    </w:r>
    <w:r w:rsidR="00E51556">
      <w:rPr>
        <w:rStyle w:val="PageNumber"/>
      </w:rPr>
      <w:fldChar w:fldCharType="separate"/>
    </w:r>
    <w:r w:rsidR="002930AA">
      <w:rPr>
        <w:rStyle w:val="PageNumber"/>
        <w:noProof/>
      </w:rPr>
      <w:t>7</w:t>
    </w:r>
    <w:r w:rsidR="00E51556">
      <w:rPr>
        <w:rStyle w:val="PageNumber"/>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96282"/>
    <w:multiLevelType w:val="hybridMultilevel"/>
    <w:tmpl w:val="ADF8AEBE"/>
    <w:lvl w:ilvl="0" w:tplc="86F4D85A">
      <w:start w:val="1"/>
      <w:numFmt w:val="decimal"/>
      <w:lvlText w:val="%1)"/>
      <w:lvlJc w:val="left"/>
      <w:pPr>
        <w:ind w:left="9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372345"/>
    <w:multiLevelType w:val="hybridMultilevel"/>
    <w:tmpl w:val="A2784E7A"/>
    <w:lvl w:ilvl="0" w:tplc="3DA43DA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3848DE"/>
    <w:multiLevelType w:val="hybridMultilevel"/>
    <w:tmpl w:val="5498A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06E18"/>
    <w:multiLevelType w:val="hybridMultilevel"/>
    <w:tmpl w:val="684C9B34"/>
    <w:lvl w:ilvl="0" w:tplc="78CC8CA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3C4B3B0C"/>
    <w:multiLevelType w:val="hybridMultilevel"/>
    <w:tmpl w:val="2F121E7E"/>
    <w:lvl w:ilvl="0" w:tplc="3DA43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D5186D"/>
    <w:multiLevelType w:val="hybridMultilevel"/>
    <w:tmpl w:val="97D42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5B2F7E"/>
    <w:multiLevelType w:val="hybridMultilevel"/>
    <w:tmpl w:val="5BA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7731A7"/>
    <w:multiLevelType w:val="hybridMultilevel"/>
    <w:tmpl w:val="FF72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6A2B77"/>
    <w:multiLevelType w:val="hybridMultilevel"/>
    <w:tmpl w:val="96DCE4EA"/>
    <w:lvl w:ilvl="0" w:tplc="86F4D85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68141075"/>
    <w:multiLevelType w:val="hybridMultilevel"/>
    <w:tmpl w:val="0B7E4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61AC3"/>
    <w:multiLevelType w:val="hybridMultilevel"/>
    <w:tmpl w:val="DC4267C6"/>
    <w:lvl w:ilvl="0" w:tplc="3DA43DA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8"/>
  </w:num>
  <w:num w:numId="5">
    <w:abstractNumId w:val="0"/>
  </w:num>
  <w:num w:numId="6">
    <w:abstractNumId w:val="4"/>
  </w:num>
  <w:num w:numId="7">
    <w:abstractNumId w:val="1"/>
  </w:num>
  <w:num w:numId="8">
    <w:abstractNumId w:val="5"/>
  </w:num>
  <w:num w:numId="9">
    <w:abstractNumId w:val="1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pos w:val="sectEnd"/>
    <w:endnote w:id="-1"/>
    <w:endnote w:id="0"/>
  </w:endnotePr>
  <w:compat/>
  <w:rsids>
    <w:rsidRoot w:val="00790C86"/>
    <w:rsid w:val="000306B3"/>
    <w:rsid w:val="000558BA"/>
    <w:rsid w:val="000750EE"/>
    <w:rsid w:val="000A3325"/>
    <w:rsid w:val="00111A15"/>
    <w:rsid w:val="00115D04"/>
    <w:rsid w:val="00157E19"/>
    <w:rsid w:val="00163B75"/>
    <w:rsid w:val="001A5708"/>
    <w:rsid w:val="001A6044"/>
    <w:rsid w:val="001C504B"/>
    <w:rsid w:val="001C6BD4"/>
    <w:rsid w:val="001D7B2A"/>
    <w:rsid w:val="001E07D3"/>
    <w:rsid w:val="001F24F3"/>
    <w:rsid w:val="00275E88"/>
    <w:rsid w:val="002930AA"/>
    <w:rsid w:val="002A30CF"/>
    <w:rsid w:val="002E43D2"/>
    <w:rsid w:val="00322675"/>
    <w:rsid w:val="00331F53"/>
    <w:rsid w:val="00343E68"/>
    <w:rsid w:val="003449E6"/>
    <w:rsid w:val="00354924"/>
    <w:rsid w:val="003825D7"/>
    <w:rsid w:val="003F2E0E"/>
    <w:rsid w:val="004360F6"/>
    <w:rsid w:val="004810E1"/>
    <w:rsid w:val="00484E2E"/>
    <w:rsid w:val="004C052D"/>
    <w:rsid w:val="004E581A"/>
    <w:rsid w:val="00526C71"/>
    <w:rsid w:val="00531F82"/>
    <w:rsid w:val="00561480"/>
    <w:rsid w:val="00570FCA"/>
    <w:rsid w:val="005714F4"/>
    <w:rsid w:val="005742AB"/>
    <w:rsid w:val="005B6E66"/>
    <w:rsid w:val="005E3FFB"/>
    <w:rsid w:val="0060100A"/>
    <w:rsid w:val="00615E99"/>
    <w:rsid w:val="00617848"/>
    <w:rsid w:val="006F0EE4"/>
    <w:rsid w:val="00701846"/>
    <w:rsid w:val="007215F6"/>
    <w:rsid w:val="0073668C"/>
    <w:rsid w:val="00745E3E"/>
    <w:rsid w:val="0077291C"/>
    <w:rsid w:val="00790C86"/>
    <w:rsid w:val="007B29AF"/>
    <w:rsid w:val="007D2A38"/>
    <w:rsid w:val="00806C87"/>
    <w:rsid w:val="00880DBA"/>
    <w:rsid w:val="008B74EF"/>
    <w:rsid w:val="00940034"/>
    <w:rsid w:val="009D5E1C"/>
    <w:rsid w:val="00A57107"/>
    <w:rsid w:val="00A64D75"/>
    <w:rsid w:val="00A67641"/>
    <w:rsid w:val="00A9799D"/>
    <w:rsid w:val="00AE155A"/>
    <w:rsid w:val="00AF18A5"/>
    <w:rsid w:val="00AF21D9"/>
    <w:rsid w:val="00B43C26"/>
    <w:rsid w:val="00B556BB"/>
    <w:rsid w:val="00B930CB"/>
    <w:rsid w:val="00B937DB"/>
    <w:rsid w:val="00BE35C2"/>
    <w:rsid w:val="00C222D7"/>
    <w:rsid w:val="00C23EC3"/>
    <w:rsid w:val="00C36525"/>
    <w:rsid w:val="00C72C7A"/>
    <w:rsid w:val="00C963A2"/>
    <w:rsid w:val="00CC355E"/>
    <w:rsid w:val="00D84CD8"/>
    <w:rsid w:val="00DC68FD"/>
    <w:rsid w:val="00E3541A"/>
    <w:rsid w:val="00E51556"/>
    <w:rsid w:val="00E77EF4"/>
    <w:rsid w:val="00EE4F0A"/>
    <w:rsid w:val="00FA39D9"/>
  </w:rsids>
  <m:mathPr>
    <m:mathFont m:val="Abadi MT Condensed Light"/>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26C71"/>
    <w:rPr>
      <w:sz w:val="24"/>
    </w:rPr>
  </w:style>
  <w:style w:type="paragraph" w:styleId="Heading1">
    <w:name w:val="heading 1"/>
    <w:basedOn w:val="Normal"/>
    <w:next w:val="Body"/>
    <w:qFormat/>
    <w:rsid w:val="00526C71"/>
    <w:pPr>
      <w:keepNext/>
      <w:spacing w:line="480" w:lineRule="auto"/>
      <w:jc w:val="center"/>
      <w:outlineLvl w:val="0"/>
    </w:pPr>
    <w:rPr>
      <w:kern w:val="28"/>
    </w:rPr>
  </w:style>
  <w:style w:type="paragraph" w:styleId="Heading2">
    <w:name w:val="heading 2"/>
    <w:basedOn w:val="Normal"/>
    <w:next w:val="Body"/>
    <w:qFormat/>
    <w:rsid w:val="00526C71"/>
    <w:pPr>
      <w:keepNext/>
      <w:spacing w:line="480" w:lineRule="auto"/>
      <w:jc w:val="center"/>
      <w:outlineLvl w:val="1"/>
    </w:pPr>
    <w:rPr>
      <w:u w:val="single"/>
    </w:rPr>
  </w:style>
  <w:style w:type="paragraph" w:styleId="Heading3">
    <w:name w:val="heading 3"/>
    <w:basedOn w:val="Normal"/>
    <w:next w:val="Body"/>
    <w:qFormat/>
    <w:rsid w:val="00526C71"/>
    <w:pPr>
      <w:keepNext/>
      <w:spacing w:line="480" w:lineRule="auto"/>
      <w:outlineLvl w:val="2"/>
    </w:pPr>
    <w:rPr>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526C71"/>
    <w:pPr>
      <w:tabs>
        <w:tab w:val="right" w:pos="9360"/>
      </w:tabs>
      <w:ind w:left="5760"/>
    </w:pPr>
  </w:style>
  <w:style w:type="paragraph" w:customStyle="1" w:styleId="Body">
    <w:name w:val="Body"/>
    <w:basedOn w:val="Normal"/>
    <w:rsid w:val="00526C71"/>
    <w:pPr>
      <w:spacing w:line="480" w:lineRule="auto"/>
      <w:ind w:firstLine="720"/>
    </w:pPr>
  </w:style>
  <w:style w:type="paragraph" w:styleId="Footer">
    <w:name w:val="footer"/>
    <w:basedOn w:val="Normal"/>
    <w:rsid w:val="00526C71"/>
    <w:pPr>
      <w:tabs>
        <w:tab w:val="center" w:pos="4320"/>
        <w:tab w:val="right" w:pos="8640"/>
      </w:tabs>
    </w:pPr>
  </w:style>
  <w:style w:type="character" w:styleId="PageNumber">
    <w:name w:val="page number"/>
    <w:basedOn w:val="DefaultParagraphFont"/>
    <w:rsid w:val="00526C71"/>
  </w:style>
  <w:style w:type="paragraph" w:styleId="EndnoteText">
    <w:name w:val="endnote text"/>
    <w:basedOn w:val="Body"/>
    <w:rsid w:val="00526C71"/>
  </w:style>
  <w:style w:type="paragraph" w:customStyle="1" w:styleId="Runninghead">
    <w:name w:val="Running head"/>
    <w:basedOn w:val="Heading1"/>
    <w:next w:val="Title"/>
    <w:rsid w:val="00526C71"/>
    <w:pPr>
      <w:jc w:val="left"/>
    </w:pPr>
  </w:style>
  <w:style w:type="paragraph" w:styleId="Title">
    <w:name w:val="Title"/>
    <w:basedOn w:val="Normal"/>
    <w:next w:val="BylineAffiliation"/>
    <w:qFormat/>
    <w:rsid w:val="00526C71"/>
    <w:pPr>
      <w:keepNext/>
      <w:spacing w:before="3360" w:line="480" w:lineRule="auto"/>
      <w:jc w:val="center"/>
      <w:outlineLvl w:val="0"/>
    </w:pPr>
  </w:style>
  <w:style w:type="paragraph" w:customStyle="1" w:styleId="BylineAffiliation">
    <w:name w:val="Byline &amp; Affiliation"/>
    <w:basedOn w:val="Title"/>
    <w:next w:val="Heading1"/>
    <w:rsid w:val="00526C71"/>
    <w:pPr>
      <w:spacing w:before="0"/>
    </w:pPr>
  </w:style>
  <w:style w:type="paragraph" w:customStyle="1" w:styleId="Abstract">
    <w:name w:val="Abstract"/>
    <w:basedOn w:val="Body"/>
    <w:next w:val="Heading1"/>
    <w:rsid w:val="00526C71"/>
    <w:pPr>
      <w:ind w:firstLine="0"/>
    </w:pPr>
  </w:style>
  <w:style w:type="paragraph" w:customStyle="1" w:styleId="Indent">
    <w:name w:val="Indent"/>
    <w:basedOn w:val="Heading1"/>
    <w:next w:val="Body"/>
    <w:rsid w:val="00526C71"/>
    <w:pPr>
      <w:keepNext w:val="0"/>
      <w:ind w:left="720"/>
      <w:jc w:val="left"/>
    </w:pPr>
  </w:style>
  <w:style w:type="paragraph" w:customStyle="1" w:styleId="TableNumber">
    <w:name w:val="Table Number"/>
    <w:basedOn w:val="Abstract"/>
    <w:next w:val="TableTitle"/>
    <w:rsid w:val="00526C71"/>
    <w:pPr>
      <w:keepNext/>
    </w:pPr>
  </w:style>
  <w:style w:type="paragraph" w:customStyle="1" w:styleId="TableTitle">
    <w:name w:val="Table Title"/>
    <w:basedOn w:val="Heading3"/>
    <w:next w:val="Abstract"/>
    <w:rsid w:val="00526C71"/>
  </w:style>
  <w:style w:type="paragraph" w:customStyle="1" w:styleId="FigureCaption">
    <w:name w:val="Figure Caption"/>
    <w:basedOn w:val="TableTitle"/>
    <w:rsid w:val="00526C71"/>
    <w:pPr>
      <w:keepNext w:val="0"/>
    </w:pPr>
  </w:style>
  <w:style w:type="character" w:styleId="EndnoteReference">
    <w:name w:val="endnote reference"/>
    <w:basedOn w:val="DefaultParagraphFont"/>
    <w:rsid w:val="00526C71"/>
    <w:rPr>
      <w:vertAlign w:val="superscript"/>
    </w:rPr>
  </w:style>
  <w:style w:type="paragraph" w:styleId="BodyText">
    <w:name w:val="Body Text"/>
    <w:basedOn w:val="Normal"/>
    <w:rsid w:val="00526C71"/>
    <w:pPr>
      <w:widowControl w:val="0"/>
      <w:autoSpaceDE w:val="0"/>
      <w:autoSpaceDN w:val="0"/>
      <w:adjustRightInd w:val="0"/>
      <w:spacing w:line="480" w:lineRule="auto"/>
    </w:pPr>
    <w:rPr>
      <w:rFonts w:ascii="Verdana" w:hAnsi="Verdana"/>
      <w:sz w:val="26"/>
    </w:rPr>
  </w:style>
  <w:style w:type="character" w:styleId="Hyperlink">
    <w:name w:val="Hyperlink"/>
    <w:basedOn w:val="DefaultParagraphFont"/>
    <w:semiHidden/>
    <w:unhideWhenUsed/>
    <w:rsid w:val="00526C71"/>
    <w:rPr>
      <w:color w:val="0000FF"/>
      <w:u w:val="single"/>
    </w:rPr>
  </w:style>
  <w:style w:type="character" w:styleId="FollowedHyperlink">
    <w:name w:val="FollowedHyperlink"/>
    <w:basedOn w:val="DefaultParagraphFont"/>
    <w:semiHidden/>
    <w:unhideWhenUsed/>
    <w:rsid w:val="00526C71"/>
    <w:rPr>
      <w:color w:val="800080"/>
      <w:u w:val="single"/>
    </w:rPr>
  </w:style>
  <w:style w:type="character" w:styleId="CommentReference">
    <w:name w:val="annotation reference"/>
    <w:basedOn w:val="DefaultParagraphFont"/>
    <w:uiPriority w:val="99"/>
    <w:semiHidden/>
    <w:unhideWhenUsed/>
    <w:rsid w:val="00C36525"/>
    <w:rPr>
      <w:sz w:val="18"/>
      <w:szCs w:val="18"/>
    </w:rPr>
  </w:style>
  <w:style w:type="paragraph" w:styleId="CommentText">
    <w:name w:val="annotation text"/>
    <w:basedOn w:val="Normal"/>
    <w:link w:val="CommentTextChar"/>
    <w:uiPriority w:val="99"/>
    <w:semiHidden/>
    <w:unhideWhenUsed/>
    <w:rsid w:val="00C36525"/>
    <w:rPr>
      <w:szCs w:val="24"/>
    </w:rPr>
  </w:style>
  <w:style w:type="character" w:customStyle="1" w:styleId="CommentTextChar">
    <w:name w:val="Comment Text Char"/>
    <w:basedOn w:val="DefaultParagraphFont"/>
    <w:link w:val="CommentText"/>
    <w:uiPriority w:val="99"/>
    <w:semiHidden/>
    <w:rsid w:val="00C36525"/>
    <w:rPr>
      <w:sz w:val="24"/>
      <w:szCs w:val="24"/>
    </w:rPr>
  </w:style>
  <w:style w:type="paragraph" w:styleId="CommentSubject">
    <w:name w:val="annotation subject"/>
    <w:basedOn w:val="CommentText"/>
    <w:next w:val="CommentText"/>
    <w:link w:val="CommentSubjectChar"/>
    <w:uiPriority w:val="99"/>
    <w:semiHidden/>
    <w:unhideWhenUsed/>
    <w:rsid w:val="00C36525"/>
    <w:rPr>
      <w:b/>
      <w:bCs/>
      <w:sz w:val="20"/>
      <w:szCs w:val="20"/>
    </w:rPr>
  </w:style>
  <w:style w:type="character" w:customStyle="1" w:styleId="CommentSubjectChar">
    <w:name w:val="Comment Subject Char"/>
    <w:basedOn w:val="CommentTextChar"/>
    <w:link w:val="CommentSubject"/>
    <w:uiPriority w:val="99"/>
    <w:semiHidden/>
    <w:rsid w:val="00C36525"/>
    <w:rPr>
      <w:b/>
      <w:bCs/>
    </w:rPr>
  </w:style>
  <w:style w:type="paragraph" w:styleId="BalloonText">
    <w:name w:val="Balloon Text"/>
    <w:basedOn w:val="Normal"/>
    <w:link w:val="BalloonTextChar"/>
    <w:uiPriority w:val="99"/>
    <w:semiHidden/>
    <w:unhideWhenUsed/>
    <w:rsid w:val="00C36525"/>
    <w:rPr>
      <w:rFonts w:ascii="Lucida Grande" w:hAnsi="Lucida Grande"/>
      <w:sz w:val="18"/>
      <w:szCs w:val="18"/>
    </w:rPr>
  </w:style>
  <w:style w:type="character" w:customStyle="1" w:styleId="BalloonTextChar">
    <w:name w:val="Balloon Text Char"/>
    <w:basedOn w:val="DefaultParagraphFont"/>
    <w:link w:val="BalloonText"/>
    <w:uiPriority w:val="99"/>
    <w:semiHidden/>
    <w:rsid w:val="00C36525"/>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630286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chart" Target="charts/chart3.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ynababdullah\Documents\Practical%20Application%20Paper%20Team%20C.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zaynababdullah\Documents\University%20of%20Phoenix%20Online\QNT575\T-Test%20Chart%20for%20Practical%20Application%20Pap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ark:Desktop:Practical%20Application%20Paper%20-%20Descriptive%20Statistic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ark:Desktop:Practical%20Application%20Paper%20-%20Descriptive%20Statistic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Student Readiness One-tailed </a:t>
            </a:r>
            <a:r>
              <a:rPr lang="en-US" i="1"/>
              <a:t>t</a:t>
            </a:r>
            <a:r>
              <a:rPr lang="en-US"/>
              <a:t>-Test</a:t>
            </a:r>
          </a:p>
        </c:rich>
      </c:tx>
      <c:layout/>
    </c:title>
    <c:plotArea>
      <c:layout/>
      <c:scatterChart>
        <c:scatterStyle val="smoothMarker"/>
        <c:ser>
          <c:idx val="0"/>
          <c:order val="0"/>
          <c:tx>
            <c:strRef>
              <c:f>Sheet6!$B$3</c:f>
              <c:strCache>
                <c:ptCount val="1"/>
                <c:pt idx="0">
                  <c:v>Variable 1</c:v>
                </c:pt>
              </c:strCache>
            </c:strRef>
          </c:tx>
          <c:marker>
            <c:symbol val="none"/>
          </c:marker>
          <c:xVal>
            <c:strRef>
              <c:f>Sheet6!$A$4:$A$13</c:f>
              <c:strCache>
                <c:ptCount val="10"/>
                <c:pt idx="0">
                  <c:v>Mean</c:v>
                </c:pt>
                <c:pt idx="1">
                  <c:v>Variance</c:v>
                </c:pt>
                <c:pt idx="2">
                  <c:v>Observations</c:v>
                </c:pt>
                <c:pt idx="3">
                  <c:v>Hypothesized Mean Difference</c:v>
                </c:pt>
                <c:pt idx="4">
                  <c:v>df</c:v>
                </c:pt>
                <c:pt idx="5">
                  <c:v>t Stat</c:v>
                </c:pt>
                <c:pt idx="6">
                  <c:v>P(T&lt;=t) one-tail</c:v>
                </c:pt>
                <c:pt idx="7">
                  <c:v>t Critical one-tail</c:v>
                </c:pt>
                <c:pt idx="8">
                  <c:v>P(T&lt;=t) two-tail</c:v>
                </c:pt>
                <c:pt idx="9">
                  <c:v>t Critical two-tail</c:v>
                </c:pt>
              </c:strCache>
            </c:strRef>
          </c:xVal>
          <c:yVal>
            <c:numRef>
              <c:f>Sheet6!$B$4:$B$13</c:f>
              <c:numCache>
                <c:formatCode>General</c:formatCode>
                <c:ptCount val="10"/>
                <c:pt idx="0">
                  <c:v>24.4</c:v>
                </c:pt>
                <c:pt idx="1">
                  <c:v>342.2999999999996</c:v>
                </c:pt>
                <c:pt idx="2">
                  <c:v>5.0</c:v>
                </c:pt>
                <c:pt idx="3">
                  <c:v>0.4</c:v>
                </c:pt>
                <c:pt idx="4">
                  <c:v>3.0</c:v>
                </c:pt>
                <c:pt idx="5">
                  <c:v>-0.779431039680486</c:v>
                </c:pt>
                <c:pt idx="6">
                  <c:v>0.246281291913987</c:v>
                </c:pt>
                <c:pt idx="7">
                  <c:v>2.353363434533132</c:v>
                </c:pt>
                <c:pt idx="8">
                  <c:v>0.492562583827974</c:v>
                </c:pt>
                <c:pt idx="9">
                  <c:v>3.182446304886878</c:v>
                </c:pt>
              </c:numCache>
            </c:numRef>
          </c:yVal>
          <c:smooth val="1"/>
        </c:ser>
        <c:ser>
          <c:idx val="1"/>
          <c:order val="1"/>
          <c:tx>
            <c:strRef>
              <c:f>Sheet6!$C$3</c:f>
              <c:strCache>
                <c:ptCount val="1"/>
                <c:pt idx="0">
                  <c:v>Variable 2</c:v>
                </c:pt>
              </c:strCache>
            </c:strRef>
          </c:tx>
          <c:marker>
            <c:symbol val="none"/>
          </c:marker>
          <c:xVal>
            <c:strRef>
              <c:f>Sheet6!$A$4:$A$13</c:f>
              <c:strCache>
                <c:ptCount val="10"/>
                <c:pt idx="0">
                  <c:v>Mean</c:v>
                </c:pt>
                <c:pt idx="1">
                  <c:v>Variance</c:v>
                </c:pt>
                <c:pt idx="2">
                  <c:v>Observations</c:v>
                </c:pt>
                <c:pt idx="3">
                  <c:v>Hypothesized Mean Difference</c:v>
                </c:pt>
                <c:pt idx="4">
                  <c:v>df</c:v>
                </c:pt>
                <c:pt idx="5">
                  <c:v>t Stat</c:v>
                </c:pt>
                <c:pt idx="6">
                  <c:v>P(T&lt;=t) one-tail</c:v>
                </c:pt>
                <c:pt idx="7">
                  <c:v>t Critical one-tail</c:v>
                </c:pt>
                <c:pt idx="8">
                  <c:v>P(T&lt;=t) two-tail</c:v>
                </c:pt>
                <c:pt idx="9">
                  <c:v>t Critical two-tail</c:v>
                </c:pt>
              </c:strCache>
            </c:strRef>
          </c:xVal>
          <c:yVal>
            <c:numRef>
              <c:f>Sheet6!$C$4:$C$13</c:f>
              <c:numCache>
                <c:formatCode>General</c:formatCode>
                <c:ptCount val="10"/>
                <c:pt idx="0">
                  <c:v>40.66666666666661</c:v>
                </c:pt>
                <c:pt idx="1">
                  <c:v>1166.333333333333</c:v>
                </c:pt>
                <c:pt idx="2">
                  <c:v>3.0</c:v>
                </c:pt>
              </c:numCache>
            </c:numRef>
          </c:yVal>
          <c:smooth val="1"/>
        </c:ser>
        <c:axId val="549902472"/>
        <c:axId val="549905544"/>
      </c:scatterChart>
      <c:valAx>
        <c:axId val="549902472"/>
        <c:scaling>
          <c:orientation val="minMax"/>
        </c:scaling>
        <c:axPos val="b"/>
        <c:majorGridlines/>
        <c:majorTickMark val="none"/>
        <c:tickLblPos val="nextTo"/>
        <c:crossAx val="549905544"/>
        <c:crosses val="autoZero"/>
        <c:crossBetween val="midCat"/>
      </c:valAx>
      <c:valAx>
        <c:axId val="549905544"/>
        <c:scaling>
          <c:orientation val="minMax"/>
        </c:scaling>
        <c:axPos val="l"/>
        <c:majorGridlines/>
        <c:numFmt formatCode="General" sourceLinked="1"/>
        <c:majorTickMark val="none"/>
        <c:tickLblPos val="nextTo"/>
        <c:crossAx val="549902472"/>
        <c:crosses val="autoZero"/>
        <c:crossBetween val="midCat"/>
      </c:valAx>
    </c:plotArea>
    <c:legend>
      <c:legendPos val="b"/>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sz="1800" b="1" i="0" u="none" strike="noStrike" baseline="0"/>
              <a:t>Best Prepared </a:t>
            </a:r>
            <a:r>
              <a:rPr lang="en-US"/>
              <a:t>Academic Area</a:t>
            </a:r>
            <a:r>
              <a:rPr lang="en-US" baseline="0"/>
              <a:t> for Post Graduate Studies</a:t>
            </a:r>
            <a:endParaRPr lang="en-US"/>
          </a:p>
        </c:rich>
      </c:tx>
      <c:layout/>
    </c:title>
    <c:plotArea>
      <c:layout/>
      <c:pieChart>
        <c:varyColors val="1"/>
        <c:ser>
          <c:idx val="0"/>
          <c:order val="0"/>
          <c:tx>
            <c:strRef>
              <c:f>Sheet1!$B$1</c:f>
              <c:strCache>
                <c:ptCount val="1"/>
                <c:pt idx="0">
                  <c:v>Percent</c:v>
                </c:pt>
              </c:strCache>
            </c:strRef>
          </c:tx>
          <c:cat>
            <c:strRef>
              <c:f>Sheet1!$A$2:$A$4</c:f>
              <c:strCache>
                <c:ptCount val="3"/>
                <c:pt idx="0">
                  <c:v>Technology</c:v>
                </c:pt>
                <c:pt idx="1">
                  <c:v>Reading</c:v>
                </c:pt>
                <c:pt idx="2">
                  <c:v>Math</c:v>
                </c:pt>
              </c:strCache>
            </c:strRef>
          </c:cat>
          <c:val>
            <c:numRef>
              <c:f>Sheet1!$B$2:$B$4</c:f>
              <c:numCache>
                <c:formatCode>General</c:formatCode>
                <c:ptCount val="3"/>
                <c:pt idx="0">
                  <c:v>11.0</c:v>
                </c:pt>
                <c:pt idx="1">
                  <c:v>33.0</c:v>
                </c:pt>
                <c:pt idx="2">
                  <c:v>78.0</c:v>
                </c:pt>
              </c:numCache>
            </c:numRef>
          </c:val>
        </c:ser>
        <c:firstSliceAng val="0"/>
      </c:pieChart>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Best Prepared Academic Area for Current Job  </a:t>
            </a:r>
          </a:p>
        </c:rich>
      </c:tx>
      <c:layout/>
    </c:title>
    <c:plotArea>
      <c:layout/>
      <c:barChart>
        <c:barDir val="col"/>
        <c:grouping val="clustered"/>
        <c:ser>
          <c:idx val="0"/>
          <c:order val="0"/>
          <c:tx>
            <c:strRef>
              <c:f>Sheet1!$E$1</c:f>
              <c:strCache>
                <c:ptCount val="1"/>
                <c:pt idx="0">
                  <c:v>Percent</c:v>
                </c:pt>
              </c:strCache>
            </c:strRef>
          </c:tx>
          <c:cat>
            <c:strRef>
              <c:f>Sheet1!$D$2:$D$6</c:f>
              <c:strCache>
                <c:ptCount val="5"/>
                <c:pt idx="0">
                  <c:v>Technology</c:v>
                </c:pt>
                <c:pt idx="1">
                  <c:v>Reading</c:v>
                </c:pt>
                <c:pt idx="2">
                  <c:v>Math</c:v>
                </c:pt>
                <c:pt idx="3">
                  <c:v>Writing</c:v>
                </c:pt>
                <c:pt idx="4">
                  <c:v>Other</c:v>
                </c:pt>
              </c:strCache>
            </c:strRef>
          </c:cat>
          <c:val>
            <c:numRef>
              <c:f>Sheet1!$E$2:$E$6</c:f>
              <c:numCache>
                <c:formatCode>General</c:formatCode>
                <c:ptCount val="5"/>
                <c:pt idx="0">
                  <c:v>22.0</c:v>
                </c:pt>
                <c:pt idx="1">
                  <c:v>22.0</c:v>
                </c:pt>
                <c:pt idx="2">
                  <c:v>56.0</c:v>
                </c:pt>
                <c:pt idx="3">
                  <c:v>11.0</c:v>
                </c:pt>
                <c:pt idx="4">
                  <c:v>11.0</c:v>
                </c:pt>
              </c:numCache>
            </c:numRef>
          </c:val>
        </c:ser>
        <c:axId val="549370024"/>
        <c:axId val="549154136"/>
      </c:barChart>
      <c:catAx>
        <c:axId val="549370024"/>
        <c:scaling>
          <c:orientation val="minMax"/>
        </c:scaling>
        <c:axPos val="b"/>
        <c:tickLblPos val="nextTo"/>
        <c:crossAx val="549154136"/>
        <c:crosses val="autoZero"/>
        <c:auto val="1"/>
        <c:lblAlgn val="ctr"/>
        <c:lblOffset val="100"/>
      </c:catAx>
      <c:valAx>
        <c:axId val="549154136"/>
        <c:scaling>
          <c:orientation val="minMax"/>
        </c:scaling>
        <c:axPos val="l"/>
        <c:majorGridlines/>
        <c:numFmt formatCode="General" sourceLinked="1"/>
        <c:tickLblPos val="nextTo"/>
        <c:crossAx val="54937002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\Users\zaynababdullah\Documents\Practical Application Paper Team C.dot</Template>
  <TotalTime>11</TotalTime>
  <Pages>8</Pages>
  <Words>962</Words>
  <Characters>5485</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Running head:</vt:lpstr>
    </vt:vector>
  </TitlesOfParts>
  <Company/>
  <LinksUpToDate>false</LinksUpToDate>
  <CharactersWithSpaces>6735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dc:title>
  <dc:creator>zaynababdullah</dc:creator>
  <cp:lastModifiedBy>Office 2004 Test Drive User</cp:lastModifiedBy>
  <cp:revision>3</cp:revision>
  <cp:lastPrinted>2010-04-23T00:48:00Z</cp:lastPrinted>
  <dcterms:created xsi:type="dcterms:W3CDTF">2010-05-02T03:03:00Z</dcterms:created>
  <dcterms:modified xsi:type="dcterms:W3CDTF">2010-05-02T13:30:00Z</dcterms:modified>
</cp:coreProperties>
</file>